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3D4DC" w14:textId="684CA461" w:rsidR="004D3B8A" w:rsidRPr="00F33C10" w:rsidRDefault="004D3B8A" w:rsidP="004D3B8A">
      <w:pPr>
        <w:pStyle w:val="Title"/>
        <w:rPr>
          <w:rFonts w:asciiTheme="minorHAnsi" w:hAnsiTheme="minorHAnsi" w:cstheme="minorHAnsi"/>
          <w:b/>
          <w:bCs/>
          <w:sz w:val="28"/>
          <w:szCs w:val="28"/>
          <w:lang w:val="en-US"/>
        </w:rPr>
      </w:pPr>
      <w:r w:rsidRPr="00F33C10">
        <w:rPr>
          <w:rFonts w:asciiTheme="minorHAnsi" w:hAnsiTheme="minorHAnsi" w:cstheme="minorHAnsi"/>
          <w:b/>
          <w:bCs/>
          <w:sz w:val="28"/>
          <w:szCs w:val="28"/>
          <w:lang w:val="en-US"/>
        </w:rPr>
        <w:t xml:space="preserve">Appendix 2: Zircon sample preparation, </w:t>
      </w:r>
      <w:r w:rsidR="00CF5171" w:rsidRPr="00F33C10">
        <w:rPr>
          <w:rFonts w:asciiTheme="minorHAnsi" w:hAnsiTheme="minorHAnsi" w:cstheme="minorHAnsi"/>
          <w:b/>
          <w:bCs/>
          <w:sz w:val="28"/>
          <w:szCs w:val="28"/>
          <w:lang w:val="en-US"/>
        </w:rPr>
        <w:t>analyses,</w:t>
      </w:r>
      <w:r w:rsidRPr="00F33C10">
        <w:rPr>
          <w:rFonts w:asciiTheme="minorHAnsi" w:hAnsiTheme="minorHAnsi" w:cstheme="minorHAnsi"/>
          <w:b/>
          <w:bCs/>
          <w:sz w:val="28"/>
          <w:szCs w:val="28"/>
          <w:lang w:val="en-US"/>
        </w:rPr>
        <w:t xml:space="preserve"> and data reduction methods</w:t>
      </w:r>
    </w:p>
    <w:p w14:paraId="1C9A8C9F" w14:textId="508E6D5B" w:rsidR="004D3B8A" w:rsidRPr="00F33C10" w:rsidRDefault="004D3B8A" w:rsidP="004D3B8A">
      <w:pPr>
        <w:pStyle w:val="Heading1"/>
        <w:rPr>
          <w:rFonts w:asciiTheme="minorHAnsi" w:hAnsiTheme="minorHAnsi" w:cstheme="minorHAnsi"/>
          <w:b/>
          <w:bCs/>
          <w:color w:val="000000" w:themeColor="text1"/>
          <w:sz w:val="24"/>
          <w:szCs w:val="24"/>
          <w:lang w:val="en-US"/>
        </w:rPr>
      </w:pPr>
      <w:r w:rsidRPr="00F33C10">
        <w:rPr>
          <w:rFonts w:asciiTheme="minorHAnsi" w:hAnsiTheme="minorHAnsi" w:cstheme="minorHAnsi"/>
          <w:b/>
          <w:bCs/>
          <w:color w:val="000000" w:themeColor="text1"/>
          <w:sz w:val="24"/>
          <w:szCs w:val="24"/>
          <w:lang w:val="en-US"/>
        </w:rPr>
        <w:t>Sample treatment to extract and mount zircon</w:t>
      </w:r>
      <w:r w:rsidR="00F33C10" w:rsidRPr="00F33C10">
        <w:rPr>
          <w:rFonts w:asciiTheme="minorHAnsi" w:hAnsiTheme="minorHAnsi" w:cstheme="minorHAnsi"/>
          <w:b/>
          <w:bCs/>
          <w:color w:val="000000" w:themeColor="text1"/>
          <w:sz w:val="24"/>
          <w:szCs w:val="24"/>
          <w:lang w:val="en-US"/>
        </w:rPr>
        <w:t xml:space="preserve"> </w:t>
      </w:r>
      <w:proofErr w:type="gramStart"/>
      <w:r w:rsidR="00F33C10" w:rsidRPr="00F33C10">
        <w:rPr>
          <w:rFonts w:asciiTheme="minorHAnsi" w:hAnsiTheme="minorHAnsi" w:cstheme="minorHAnsi"/>
          <w:b/>
          <w:bCs/>
          <w:color w:val="000000" w:themeColor="text1"/>
          <w:sz w:val="24"/>
          <w:szCs w:val="24"/>
          <w:lang w:val="en-US"/>
        </w:rPr>
        <w:t>crystal</w:t>
      </w:r>
      <w:r w:rsidRPr="00F33C10">
        <w:rPr>
          <w:rFonts w:asciiTheme="minorHAnsi" w:hAnsiTheme="minorHAnsi" w:cstheme="minorHAnsi"/>
          <w:b/>
          <w:bCs/>
          <w:color w:val="000000" w:themeColor="text1"/>
          <w:sz w:val="24"/>
          <w:szCs w:val="24"/>
          <w:lang w:val="en-US"/>
        </w:rPr>
        <w:t>s</w:t>
      </w:r>
      <w:proofErr w:type="gramEnd"/>
    </w:p>
    <w:p w14:paraId="5AAD7EAF" w14:textId="01B50239" w:rsidR="004D3B8A" w:rsidRDefault="004D3B8A" w:rsidP="004D3B8A">
      <w:pPr>
        <w:rPr>
          <w:sz w:val="22"/>
          <w:szCs w:val="22"/>
          <w:lang w:val="en-US"/>
        </w:rPr>
      </w:pPr>
    </w:p>
    <w:p w14:paraId="06FAD47F" w14:textId="7C8BA45D" w:rsidR="004F5450" w:rsidRDefault="004F5450" w:rsidP="0048196A">
      <w:pPr>
        <w:pStyle w:val="NoSpacing"/>
        <w:jc w:val="both"/>
        <w:rPr>
          <w:lang w:val="en-US"/>
        </w:rPr>
      </w:pPr>
      <w:r>
        <w:rPr>
          <w:lang w:val="en-US"/>
        </w:rPr>
        <w:t>The samples were first washed to remove any surface contamination and again to remove grease and/or contamination from the saw. Then, the samples were cut into blocks about the size of a large fist using the saw at CODES</w:t>
      </w:r>
      <w:r w:rsidR="0048196A">
        <w:rPr>
          <w:lang w:val="en-US"/>
        </w:rPr>
        <w:t xml:space="preserve">/ES lapidary, </w:t>
      </w:r>
      <w:r>
        <w:rPr>
          <w:lang w:val="en-US"/>
        </w:rPr>
        <w:t xml:space="preserve">University of Tasmania in preparation to fit into the crushing machine. </w:t>
      </w:r>
      <w:r w:rsidR="0048196A">
        <w:rPr>
          <w:lang w:val="en-US"/>
        </w:rPr>
        <w:t>In the CODES/ES laboratory, a</w:t>
      </w:r>
      <w:r>
        <w:rPr>
          <w:lang w:val="en-US"/>
        </w:rPr>
        <w:t xml:space="preserve"> hydraulic press </w:t>
      </w:r>
      <w:r w:rsidR="00BF34DA">
        <w:rPr>
          <w:lang w:val="en-US"/>
        </w:rPr>
        <w:t>crush</w:t>
      </w:r>
      <w:r w:rsidR="00F33C10">
        <w:rPr>
          <w:lang w:val="en-US"/>
        </w:rPr>
        <w:t>ed</w:t>
      </w:r>
      <w:r w:rsidR="00BF34DA">
        <w:rPr>
          <w:lang w:val="en-US"/>
        </w:rPr>
        <w:t xml:space="preserve"> the samples into chips less than 5 cm </w:t>
      </w:r>
      <w:r w:rsidR="0048196A">
        <w:rPr>
          <w:lang w:val="en-US"/>
        </w:rPr>
        <w:t xml:space="preserve">across </w:t>
      </w:r>
      <w:r w:rsidR="00BF34DA">
        <w:rPr>
          <w:lang w:val="en-US"/>
        </w:rPr>
        <w:t xml:space="preserve">in preparation for milling. Before and after each sample the equipment was blasted with air and wiped down to prevent cross contamination. In the same laboratory, a chrome-steel mill was used to mill the samples </w:t>
      </w:r>
      <w:r w:rsidR="00F33C10">
        <w:rPr>
          <w:lang w:val="en-US"/>
        </w:rPr>
        <w:t>to the</w:t>
      </w:r>
      <w:r w:rsidR="00BF34DA">
        <w:rPr>
          <w:lang w:val="en-US"/>
        </w:rPr>
        <w:t xml:space="preserve"> coarseness of </w:t>
      </w:r>
      <w:proofErr w:type="gramStart"/>
      <w:r w:rsidR="00BF34DA">
        <w:rPr>
          <w:lang w:val="en-US"/>
        </w:rPr>
        <w:t>a fine</w:t>
      </w:r>
      <w:proofErr w:type="gramEnd"/>
      <w:r w:rsidR="00BF34DA">
        <w:rPr>
          <w:lang w:val="en-US"/>
        </w:rPr>
        <w:t xml:space="preserve"> sand. In between each sample </w:t>
      </w:r>
      <w:r w:rsidR="00F33C10">
        <w:rPr>
          <w:lang w:val="en-US"/>
        </w:rPr>
        <w:t>the mill</w:t>
      </w:r>
      <w:r w:rsidR="00BF34DA">
        <w:rPr>
          <w:lang w:val="en-US"/>
        </w:rPr>
        <w:t xml:space="preserve"> was also blasted with air and wiped down to prevent contamination. </w:t>
      </w:r>
    </w:p>
    <w:p w14:paraId="0989F433" w14:textId="5ACA3162" w:rsidR="004F5450" w:rsidRDefault="004F5450" w:rsidP="00CF5171">
      <w:pPr>
        <w:pStyle w:val="NoSpacing"/>
        <w:jc w:val="both"/>
        <w:rPr>
          <w:lang w:val="en-US"/>
        </w:rPr>
      </w:pPr>
    </w:p>
    <w:p w14:paraId="19D56F78" w14:textId="01FE5686" w:rsidR="00BF34DA" w:rsidRDefault="00BF34DA" w:rsidP="00CF5171">
      <w:pPr>
        <w:pStyle w:val="NoSpacing"/>
        <w:jc w:val="both"/>
        <w:rPr>
          <w:lang w:val="en-US"/>
        </w:rPr>
      </w:pPr>
      <w:r>
        <w:rPr>
          <w:lang w:val="en-US"/>
        </w:rPr>
        <w:t xml:space="preserve">Each milled sample was </w:t>
      </w:r>
      <w:proofErr w:type="gramStart"/>
      <w:r>
        <w:rPr>
          <w:lang w:val="en-US"/>
        </w:rPr>
        <w:t>panned</w:t>
      </w:r>
      <w:proofErr w:type="gramEnd"/>
      <w:r>
        <w:rPr>
          <w:lang w:val="en-US"/>
        </w:rPr>
        <w:t xml:space="preserve"> to remove the light grains </w:t>
      </w:r>
      <w:r w:rsidR="006A68FA">
        <w:rPr>
          <w:lang w:val="en-US"/>
        </w:rPr>
        <w:t xml:space="preserve">and heavy minerals were transferred to a watch glass. The grains were further panned in the watch glass to separate out zircons from other heavy minerals. Next, each watch glass was put into an oven at approximately 50 degrees for over 30 minutes to dry out. A magnet was then used to remove any magnetic grains </w:t>
      </w:r>
      <w:r w:rsidR="00F33C10">
        <w:rPr>
          <w:lang w:val="en-US"/>
        </w:rPr>
        <w:t xml:space="preserve">which were </w:t>
      </w:r>
      <w:r w:rsidR="006A68FA">
        <w:rPr>
          <w:lang w:val="en-US"/>
        </w:rPr>
        <w:t xml:space="preserve">kept </w:t>
      </w:r>
      <w:r w:rsidR="00070164">
        <w:rPr>
          <w:lang w:val="en-US"/>
        </w:rPr>
        <w:t>separately,</w:t>
      </w:r>
      <w:r w:rsidR="006A68FA">
        <w:rPr>
          <w:lang w:val="en-US"/>
        </w:rPr>
        <w:t xml:space="preserve"> and zircons were transferred to paper </w:t>
      </w:r>
      <w:proofErr w:type="gramStart"/>
      <w:r w:rsidR="006A68FA">
        <w:rPr>
          <w:lang w:val="en-US"/>
        </w:rPr>
        <w:t>envelope</w:t>
      </w:r>
      <w:proofErr w:type="gramEnd"/>
      <w:r w:rsidR="006A68FA">
        <w:rPr>
          <w:lang w:val="en-US"/>
        </w:rPr>
        <w:t xml:space="preserve"> </w:t>
      </w:r>
      <w:r w:rsidR="00070164">
        <w:rPr>
          <w:lang w:val="en-US"/>
        </w:rPr>
        <w:t>for</w:t>
      </w:r>
      <w:r w:rsidR="006A68FA">
        <w:rPr>
          <w:lang w:val="en-US"/>
        </w:rPr>
        <w:t xml:space="preserve"> storage.</w:t>
      </w:r>
      <w:r w:rsidR="00070164">
        <w:rPr>
          <w:lang w:val="en-US"/>
        </w:rPr>
        <w:t xml:space="preserve"> </w:t>
      </w:r>
      <w:r w:rsidR="00F33C10">
        <w:rPr>
          <w:lang w:val="en-US"/>
        </w:rPr>
        <w:t>D</w:t>
      </w:r>
      <w:r w:rsidR="006A68FA">
        <w:rPr>
          <w:lang w:val="en-US"/>
        </w:rPr>
        <w:t>ouble</w:t>
      </w:r>
      <w:r w:rsidR="00F33C10">
        <w:rPr>
          <w:lang w:val="en-US"/>
        </w:rPr>
        <w:t>-</w:t>
      </w:r>
      <w:r w:rsidR="006A68FA">
        <w:rPr>
          <w:lang w:val="en-US"/>
        </w:rPr>
        <w:t>sided sticky tape</w:t>
      </w:r>
      <w:r w:rsidR="00070164">
        <w:rPr>
          <w:lang w:val="en-US"/>
        </w:rPr>
        <w:t xml:space="preserve"> for each sample</w:t>
      </w:r>
      <w:r w:rsidR="006A68FA">
        <w:rPr>
          <w:lang w:val="en-US"/>
        </w:rPr>
        <w:t xml:space="preserve"> was placed onto a slide and </w:t>
      </w:r>
      <w:r w:rsidR="00070164">
        <w:rPr>
          <w:lang w:val="en-US"/>
        </w:rPr>
        <w:t xml:space="preserve">zircons were poured onto tape. Epoxy resin was then poured to create the mounts. </w:t>
      </w:r>
    </w:p>
    <w:p w14:paraId="284680B9" w14:textId="33C5032A" w:rsidR="00070164" w:rsidRDefault="00070164" w:rsidP="00CF5171">
      <w:pPr>
        <w:pStyle w:val="NoSpacing"/>
        <w:jc w:val="both"/>
        <w:rPr>
          <w:lang w:val="en-US"/>
        </w:rPr>
      </w:pPr>
    </w:p>
    <w:p w14:paraId="28172073" w14:textId="19476C11" w:rsidR="00070164" w:rsidRDefault="00070164" w:rsidP="00CF5171">
      <w:pPr>
        <w:pStyle w:val="NoSpacing"/>
        <w:jc w:val="both"/>
        <w:rPr>
          <w:lang w:val="en-US"/>
        </w:rPr>
      </w:pPr>
      <w:r>
        <w:rPr>
          <w:lang w:val="en-US"/>
        </w:rPr>
        <w:t xml:space="preserve">Once the epoxy was hardened the surfaces were polished and sent to </w:t>
      </w:r>
      <w:r w:rsidR="00F33C10">
        <w:rPr>
          <w:lang w:val="en-US"/>
        </w:rPr>
        <w:t xml:space="preserve">the </w:t>
      </w:r>
      <w:r>
        <w:rPr>
          <w:lang w:val="en-US"/>
        </w:rPr>
        <w:t>C</w:t>
      </w:r>
      <w:r w:rsidR="00F33C10">
        <w:rPr>
          <w:lang w:val="en-US"/>
        </w:rPr>
        <w:t>entral Science Laboratory</w:t>
      </w:r>
      <w:r>
        <w:rPr>
          <w:lang w:val="en-US"/>
        </w:rPr>
        <w:t xml:space="preserve"> </w:t>
      </w:r>
      <w:r w:rsidR="00F33C10">
        <w:rPr>
          <w:lang w:val="en-US"/>
        </w:rPr>
        <w:t xml:space="preserve">(CSL) </w:t>
      </w:r>
      <w:r>
        <w:rPr>
          <w:lang w:val="en-US"/>
        </w:rPr>
        <w:t xml:space="preserve">at the University of Tasmania for carbon coating for imaging. Cathodoluminescence imaging (CL) was conducted </w:t>
      </w:r>
      <w:r w:rsidR="00F33C10">
        <w:rPr>
          <w:lang w:val="en-US"/>
        </w:rPr>
        <w:t>at CSL u</w:t>
      </w:r>
      <w:r>
        <w:rPr>
          <w:lang w:val="en-US"/>
        </w:rPr>
        <w:t xml:space="preserve">sing </w:t>
      </w:r>
      <w:r w:rsidR="00F33C10">
        <w:rPr>
          <w:lang w:val="en-US"/>
        </w:rPr>
        <w:t xml:space="preserve">the </w:t>
      </w:r>
      <w:r w:rsidR="00F33C10" w:rsidRPr="00F33C10">
        <w:rPr>
          <w:lang w:val="en-US"/>
        </w:rPr>
        <w:t>Hitachi SU-70 field emission analytical scanning electron microscope</w:t>
      </w:r>
      <w:r>
        <w:rPr>
          <w:lang w:val="en-US"/>
        </w:rPr>
        <w:t xml:space="preserve"> </w:t>
      </w:r>
      <w:r w:rsidR="00CF5171">
        <w:rPr>
          <w:lang w:val="en-US"/>
        </w:rPr>
        <w:t xml:space="preserve">of a section of </w:t>
      </w:r>
      <w:r w:rsidR="00F33C10">
        <w:rPr>
          <w:lang w:val="en-US"/>
        </w:rPr>
        <w:t>each</w:t>
      </w:r>
      <w:r w:rsidR="00CF5171">
        <w:rPr>
          <w:lang w:val="en-US"/>
        </w:rPr>
        <w:t xml:space="preserve"> </w:t>
      </w:r>
      <w:proofErr w:type="gramStart"/>
      <w:r w:rsidR="00CF5171">
        <w:rPr>
          <w:lang w:val="en-US"/>
        </w:rPr>
        <w:t>samples</w:t>
      </w:r>
      <w:proofErr w:type="gramEnd"/>
      <w:r w:rsidR="00CF5171">
        <w:rPr>
          <w:lang w:val="en-US"/>
        </w:rPr>
        <w:t xml:space="preserve">. Results of </w:t>
      </w:r>
      <w:r w:rsidR="004D7D71">
        <w:rPr>
          <w:lang w:val="en-US"/>
        </w:rPr>
        <w:t>CL</w:t>
      </w:r>
      <w:r w:rsidR="00CF5171">
        <w:rPr>
          <w:lang w:val="en-US"/>
        </w:rPr>
        <w:t xml:space="preserve"> imaging are presented in Appendix 3.</w:t>
      </w:r>
    </w:p>
    <w:p w14:paraId="1822F749" w14:textId="5395A4B5" w:rsidR="00286DDF" w:rsidRPr="004D3B8A" w:rsidRDefault="00286DDF" w:rsidP="004D3B8A">
      <w:pPr>
        <w:rPr>
          <w:sz w:val="22"/>
          <w:szCs w:val="22"/>
          <w:lang w:val="en-US"/>
        </w:rPr>
      </w:pPr>
    </w:p>
    <w:p w14:paraId="68E78C80" w14:textId="05CDBB52" w:rsidR="004D3B8A" w:rsidRPr="00F33C10" w:rsidRDefault="004D3B8A" w:rsidP="004D3B8A">
      <w:pPr>
        <w:pStyle w:val="Heading1"/>
        <w:rPr>
          <w:rFonts w:asciiTheme="minorHAnsi" w:hAnsiTheme="minorHAnsi" w:cstheme="minorHAnsi"/>
          <w:b/>
          <w:bCs/>
          <w:color w:val="000000" w:themeColor="text1"/>
          <w:sz w:val="24"/>
          <w:szCs w:val="24"/>
          <w:lang w:val="en-US"/>
        </w:rPr>
      </w:pPr>
      <w:r w:rsidRPr="00F33C10">
        <w:rPr>
          <w:rFonts w:asciiTheme="minorHAnsi" w:hAnsiTheme="minorHAnsi" w:cstheme="minorHAnsi"/>
          <w:b/>
          <w:bCs/>
          <w:color w:val="000000" w:themeColor="text1"/>
          <w:sz w:val="24"/>
          <w:szCs w:val="24"/>
          <w:lang w:val="en-US"/>
        </w:rPr>
        <w:t>Obtaining zircon geochemistry</w:t>
      </w:r>
    </w:p>
    <w:p w14:paraId="79E9B9E2" w14:textId="661D563E" w:rsidR="00CF5171" w:rsidRDefault="00CF5171" w:rsidP="00CF5171">
      <w:pPr>
        <w:rPr>
          <w:sz w:val="22"/>
          <w:szCs w:val="22"/>
        </w:rPr>
      </w:pPr>
    </w:p>
    <w:p w14:paraId="27EA2E5B" w14:textId="22F59EA7" w:rsidR="00CF5171" w:rsidRDefault="004D7D71" w:rsidP="004D7D71">
      <w:pPr>
        <w:rPr>
          <w:color w:val="000000" w:themeColor="text1"/>
          <w:sz w:val="22"/>
          <w:szCs w:val="22"/>
        </w:rPr>
      </w:pPr>
      <w:r>
        <w:rPr>
          <w:color w:val="000000" w:themeColor="text1"/>
          <w:sz w:val="22"/>
          <w:szCs w:val="22"/>
        </w:rPr>
        <w:t xml:space="preserve">Zircon crystals were analysed using </w:t>
      </w:r>
      <w:r w:rsidRPr="004D7D71">
        <w:rPr>
          <w:color w:val="000000" w:themeColor="text1"/>
          <w:sz w:val="22"/>
          <w:szCs w:val="22"/>
        </w:rPr>
        <w:t>Laser Ablation Inductively Coupled Plasma Mass Spectrometry</w:t>
      </w:r>
      <w:r>
        <w:rPr>
          <w:color w:val="000000" w:themeColor="text1"/>
          <w:sz w:val="22"/>
          <w:szCs w:val="22"/>
        </w:rPr>
        <w:t xml:space="preserve"> (LA-ICPMS)</w:t>
      </w:r>
      <w:r w:rsidR="00F27A52" w:rsidRPr="003200EF">
        <w:rPr>
          <w:color w:val="000000" w:themeColor="text1"/>
          <w:sz w:val="22"/>
          <w:szCs w:val="22"/>
        </w:rPr>
        <w:t xml:space="preserve"> </w:t>
      </w:r>
      <w:r w:rsidR="00236C4C">
        <w:rPr>
          <w:color w:val="000000" w:themeColor="text1"/>
          <w:sz w:val="22"/>
          <w:szCs w:val="22"/>
        </w:rPr>
        <w:t xml:space="preserve">equipment </w:t>
      </w:r>
      <w:r w:rsidR="00F27A52" w:rsidRPr="003200EF">
        <w:rPr>
          <w:color w:val="000000" w:themeColor="text1"/>
          <w:sz w:val="22"/>
          <w:szCs w:val="22"/>
        </w:rPr>
        <w:t>in the ES/CODES Analytical Laboratory</w:t>
      </w:r>
      <w:r w:rsidR="00236C4C">
        <w:rPr>
          <w:color w:val="000000" w:themeColor="text1"/>
          <w:sz w:val="22"/>
          <w:szCs w:val="22"/>
        </w:rPr>
        <w:t>, University of Tasmania</w:t>
      </w:r>
      <w:r w:rsidR="00F27A52" w:rsidRPr="003200EF">
        <w:rPr>
          <w:color w:val="000000" w:themeColor="text1"/>
          <w:sz w:val="22"/>
          <w:szCs w:val="22"/>
        </w:rPr>
        <w:t xml:space="preserve">. </w:t>
      </w:r>
      <w:r w:rsidR="003D2258" w:rsidRPr="003200EF">
        <w:rPr>
          <w:color w:val="000000" w:themeColor="text1"/>
          <w:sz w:val="22"/>
          <w:szCs w:val="22"/>
        </w:rPr>
        <w:t>An</w:t>
      </w:r>
      <w:r w:rsidR="00CF5171" w:rsidRPr="00CF5171">
        <w:rPr>
          <w:color w:val="000000" w:themeColor="text1"/>
          <w:sz w:val="22"/>
          <w:szCs w:val="22"/>
        </w:rPr>
        <w:t xml:space="preserve"> ASI </w:t>
      </w:r>
      <w:r w:rsidR="00A170DE" w:rsidRPr="003200EF">
        <w:rPr>
          <w:color w:val="000000" w:themeColor="text1"/>
          <w:sz w:val="22"/>
          <w:szCs w:val="22"/>
        </w:rPr>
        <w:t>Resolution</w:t>
      </w:r>
      <w:r w:rsidR="00CF5171" w:rsidRPr="00CF5171">
        <w:rPr>
          <w:color w:val="000000" w:themeColor="text1"/>
          <w:sz w:val="22"/>
          <w:szCs w:val="22"/>
        </w:rPr>
        <w:t xml:space="preserve"> S-155 ablation system with Coherent </w:t>
      </w:r>
      <w:r w:rsidR="00055488" w:rsidRPr="00CF5171">
        <w:rPr>
          <w:color w:val="000000" w:themeColor="text1"/>
          <w:sz w:val="22"/>
          <w:szCs w:val="22"/>
        </w:rPr>
        <w:t>Complex</w:t>
      </w:r>
      <w:r w:rsidR="00CF5171" w:rsidRPr="00CF5171">
        <w:rPr>
          <w:color w:val="000000" w:themeColor="text1"/>
          <w:sz w:val="22"/>
          <w:szCs w:val="22"/>
        </w:rPr>
        <w:t xml:space="preserve"> Pro 110 </w:t>
      </w:r>
      <w:proofErr w:type="spellStart"/>
      <w:r w:rsidR="00CF5171" w:rsidRPr="00CF5171">
        <w:rPr>
          <w:color w:val="000000" w:themeColor="text1"/>
          <w:sz w:val="22"/>
          <w:szCs w:val="22"/>
        </w:rPr>
        <w:t>Ar</w:t>
      </w:r>
      <w:proofErr w:type="spellEnd"/>
      <w:r w:rsidR="00CF5171" w:rsidRPr="00CF5171">
        <w:rPr>
          <w:color w:val="000000" w:themeColor="text1"/>
          <w:sz w:val="22"/>
          <w:szCs w:val="22"/>
        </w:rPr>
        <w:t xml:space="preserve">-F excimer laser </w:t>
      </w:r>
      <w:r w:rsidR="00055488" w:rsidRPr="00CF5171">
        <w:rPr>
          <w:color w:val="000000" w:themeColor="text1"/>
          <w:sz w:val="22"/>
          <w:szCs w:val="22"/>
        </w:rPr>
        <w:t>working</w:t>
      </w:r>
      <w:r w:rsidR="00CF5171" w:rsidRPr="00CF5171">
        <w:rPr>
          <w:color w:val="000000" w:themeColor="text1"/>
          <w:sz w:val="22"/>
          <w:szCs w:val="22"/>
        </w:rPr>
        <w:t xml:space="preserve"> at a 193nm wavelength and a pulse width of 20ns</w:t>
      </w:r>
      <w:r w:rsidR="003D2258" w:rsidRPr="003200EF">
        <w:rPr>
          <w:color w:val="000000" w:themeColor="text1"/>
          <w:sz w:val="22"/>
          <w:szCs w:val="22"/>
        </w:rPr>
        <w:t xml:space="preserve"> was used for the samples’ </w:t>
      </w:r>
      <w:r w:rsidR="003200EF" w:rsidRPr="003200EF">
        <w:rPr>
          <w:color w:val="000000" w:themeColor="text1"/>
          <w:sz w:val="22"/>
          <w:szCs w:val="22"/>
        </w:rPr>
        <w:t>analyses</w:t>
      </w:r>
      <w:r w:rsidR="00CF5171" w:rsidRPr="00CF5171">
        <w:rPr>
          <w:color w:val="000000" w:themeColor="text1"/>
          <w:sz w:val="22"/>
          <w:szCs w:val="22"/>
        </w:rPr>
        <w:t xml:space="preserve">. </w:t>
      </w:r>
      <w:r w:rsidR="003200EF" w:rsidRPr="003200EF">
        <w:rPr>
          <w:color w:val="000000" w:themeColor="text1"/>
          <w:sz w:val="22"/>
          <w:szCs w:val="22"/>
        </w:rPr>
        <w:t>A</w:t>
      </w:r>
      <w:r w:rsidR="00236C4C">
        <w:rPr>
          <w:color w:val="000000" w:themeColor="text1"/>
          <w:sz w:val="22"/>
          <w:szCs w:val="22"/>
        </w:rPr>
        <w:t>blated material was analysed using the</w:t>
      </w:r>
      <w:r w:rsidR="00CF5171" w:rsidRPr="00CF5171">
        <w:rPr>
          <w:color w:val="000000" w:themeColor="text1"/>
          <w:sz w:val="22"/>
          <w:szCs w:val="22"/>
        </w:rPr>
        <w:t xml:space="preserve"> Agilent 7900 quadrupole ICPMS. Thompson et al. (2018)</w:t>
      </w:r>
      <w:r w:rsidR="003200EF" w:rsidRPr="003200EF">
        <w:rPr>
          <w:color w:val="000000" w:themeColor="text1"/>
          <w:sz w:val="22"/>
          <w:szCs w:val="22"/>
        </w:rPr>
        <w:t xml:space="preserve"> describes </w:t>
      </w:r>
      <w:r w:rsidR="00236C4C">
        <w:rPr>
          <w:color w:val="000000" w:themeColor="text1"/>
          <w:sz w:val="22"/>
          <w:szCs w:val="22"/>
        </w:rPr>
        <w:t xml:space="preserve">in detail the method and </w:t>
      </w:r>
      <w:r w:rsidR="003200EF" w:rsidRPr="003200EF">
        <w:rPr>
          <w:color w:val="000000" w:themeColor="text1"/>
          <w:sz w:val="22"/>
          <w:szCs w:val="22"/>
        </w:rPr>
        <w:t>other condition used</w:t>
      </w:r>
      <w:r w:rsidR="00236C4C">
        <w:rPr>
          <w:color w:val="000000" w:themeColor="text1"/>
          <w:sz w:val="22"/>
          <w:szCs w:val="22"/>
        </w:rPr>
        <w:t xml:space="preserve"> for</w:t>
      </w:r>
      <w:r w:rsidR="003200EF" w:rsidRPr="003200EF">
        <w:rPr>
          <w:color w:val="000000" w:themeColor="text1"/>
          <w:sz w:val="22"/>
          <w:szCs w:val="22"/>
        </w:rPr>
        <w:t xml:space="preserve"> the analyses</w:t>
      </w:r>
      <w:r w:rsidR="00CF5171" w:rsidRPr="00CF5171">
        <w:rPr>
          <w:color w:val="000000" w:themeColor="text1"/>
          <w:sz w:val="22"/>
          <w:szCs w:val="22"/>
        </w:rPr>
        <w:t xml:space="preserve">. </w:t>
      </w:r>
    </w:p>
    <w:p w14:paraId="77079E10" w14:textId="77777777" w:rsidR="004C4A92" w:rsidRDefault="004C4A92" w:rsidP="00CF5171">
      <w:pPr>
        <w:rPr>
          <w:color w:val="000000" w:themeColor="text1"/>
          <w:sz w:val="22"/>
          <w:szCs w:val="22"/>
        </w:rPr>
      </w:pPr>
    </w:p>
    <w:p w14:paraId="3DD86F2E" w14:textId="3BC1520A" w:rsidR="004C4A92" w:rsidRPr="00703345" w:rsidRDefault="004C4A92" w:rsidP="004C4A92">
      <w:pPr>
        <w:rPr>
          <w:sz w:val="22"/>
          <w:szCs w:val="22"/>
        </w:rPr>
      </w:pPr>
      <w:r w:rsidRPr="00703345">
        <w:rPr>
          <w:sz w:val="22"/>
          <w:szCs w:val="22"/>
        </w:rPr>
        <w:t>For the detrital zircon the following standards used were</w:t>
      </w:r>
      <w:r w:rsidR="00236C4C">
        <w:rPr>
          <w:sz w:val="22"/>
          <w:szCs w:val="22"/>
        </w:rPr>
        <w:t xml:space="preserve"> before and after every 23 spots</w:t>
      </w:r>
      <w:r w:rsidR="00B025E4">
        <w:rPr>
          <w:sz w:val="22"/>
          <w:szCs w:val="22"/>
        </w:rPr>
        <w:t>:</w:t>
      </w:r>
      <w:r w:rsidRPr="00703345">
        <w:rPr>
          <w:sz w:val="22"/>
          <w:szCs w:val="22"/>
        </w:rPr>
        <w:t xml:space="preserve"> </w:t>
      </w:r>
    </w:p>
    <w:p w14:paraId="332E0E54" w14:textId="77777777" w:rsidR="004C4A92" w:rsidRPr="00703345" w:rsidRDefault="004C4A92" w:rsidP="004C4A92">
      <w:pPr>
        <w:ind w:left="567" w:hanging="141"/>
        <w:rPr>
          <w:sz w:val="22"/>
          <w:szCs w:val="22"/>
        </w:rPr>
      </w:pPr>
      <w:r w:rsidRPr="00703345">
        <w:rPr>
          <w:sz w:val="22"/>
          <w:szCs w:val="22"/>
        </w:rPr>
        <w:t xml:space="preserve">• 91500 (Wiedenbeck et al., 1995, 2005) was used as the primary calibration standard for the </w:t>
      </w:r>
    </w:p>
    <w:p w14:paraId="08E88576" w14:textId="78CB4DAF" w:rsidR="004C4A92" w:rsidRPr="00703345" w:rsidRDefault="004C4A92" w:rsidP="004C4A92">
      <w:pPr>
        <w:ind w:left="567" w:hanging="141"/>
        <w:rPr>
          <w:sz w:val="22"/>
          <w:szCs w:val="22"/>
        </w:rPr>
      </w:pPr>
      <w:r w:rsidRPr="00703345">
        <w:rPr>
          <w:sz w:val="22"/>
          <w:szCs w:val="22"/>
        </w:rPr>
        <w:t xml:space="preserve">Pb/U and Pb/Th </w:t>
      </w:r>
      <w:proofErr w:type="gramStart"/>
      <w:r w:rsidRPr="00703345">
        <w:rPr>
          <w:sz w:val="22"/>
          <w:szCs w:val="22"/>
        </w:rPr>
        <w:t>ratios</w:t>
      </w:r>
      <w:r w:rsidR="00B025E4">
        <w:rPr>
          <w:sz w:val="22"/>
          <w:szCs w:val="22"/>
        </w:rPr>
        <w:t>;</w:t>
      </w:r>
      <w:proofErr w:type="gramEnd"/>
    </w:p>
    <w:p w14:paraId="5B54A448" w14:textId="5E962DA9" w:rsidR="004C4A92" w:rsidRPr="00703345" w:rsidRDefault="004C4A92" w:rsidP="004C4A92">
      <w:pPr>
        <w:ind w:left="567" w:hanging="141"/>
        <w:rPr>
          <w:sz w:val="22"/>
          <w:szCs w:val="22"/>
        </w:rPr>
      </w:pPr>
      <w:r w:rsidRPr="00703345">
        <w:rPr>
          <w:sz w:val="22"/>
          <w:szCs w:val="22"/>
        </w:rPr>
        <w:t xml:space="preserve">• NIST610 (reference values from http://georem.mpch-mainz.gwdg.de was used to calibrate </w:t>
      </w:r>
    </w:p>
    <w:p w14:paraId="258E8391" w14:textId="565E107C" w:rsidR="004C4A92" w:rsidRPr="00703345" w:rsidRDefault="004C4A92" w:rsidP="00B025E4">
      <w:pPr>
        <w:ind w:left="567" w:hanging="141"/>
        <w:rPr>
          <w:sz w:val="22"/>
          <w:szCs w:val="22"/>
        </w:rPr>
      </w:pPr>
      <w:r w:rsidRPr="00703345">
        <w:rPr>
          <w:sz w:val="22"/>
          <w:szCs w:val="22"/>
        </w:rPr>
        <w:t xml:space="preserve">the </w:t>
      </w:r>
      <w:r w:rsidRPr="00C51F81">
        <w:rPr>
          <w:sz w:val="22"/>
          <w:szCs w:val="22"/>
          <w:vertAlign w:val="superscript"/>
        </w:rPr>
        <w:t>207</w:t>
      </w:r>
      <w:r w:rsidRPr="00703345">
        <w:rPr>
          <w:sz w:val="22"/>
          <w:szCs w:val="22"/>
        </w:rPr>
        <w:t>Pb/</w:t>
      </w:r>
      <w:r w:rsidRPr="00C51F81">
        <w:rPr>
          <w:sz w:val="22"/>
          <w:szCs w:val="22"/>
          <w:vertAlign w:val="superscript"/>
        </w:rPr>
        <w:t>206</w:t>
      </w:r>
      <w:r w:rsidRPr="00703345">
        <w:rPr>
          <w:sz w:val="22"/>
          <w:szCs w:val="22"/>
        </w:rPr>
        <w:t xml:space="preserve"> Pb ratios and to calibrate the trace element concentrations using Zr as the internal standard element, assuming stoichiometric</w:t>
      </w:r>
      <w:r w:rsidR="00B025E4">
        <w:rPr>
          <w:sz w:val="22"/>
          <w:szCs w:val="22"/>
        </w:rPr>
        <w:t xml:space="preserve"> </w:t>
      </w:r>
      <w:proofErr w:type="gramStart"/>
      <w:r w:rsidRPr="00703345">
        <w:rPr>
          <w:sz w:val="22"/>
          <w:szCs w:val="22"/>
        </w:rPr>
        <w:t>proportions</w:t>
      </w:r>
      <w:r w:rsidR="00B025E4">
        <w:rPr>
          <w:sz w:val="22"/>
          <w:szCs w:val="22"/>
        </w:rPr>
        <w:t>;</w:t>
      </w:r>
      <w:proofErr w:type="gramEnd"/>
    </w:p>
    <w:p w14:paraId="675A085F" w14:textId="77777777" w:rsidR="004C4A92" w:rsidRPr="00703345" w:rsidRDefault="004C4A92" w:rsidP="004C4A92">
      <w:pPr>
        <w:ind w:left="567" w:hanging="141"/>
        <w:rPr>
          <w:sz w:val="22"/>
          <w:szCs w:val="22"/>
        </w:rPr>
      </w:pPr>
      <w:r w:rsidRPr="00703345">
        <w:rPr>
          <w:sz w:val="22"/>
          <w:szCs w:val="22"/>
        </w:rPr>
        <w:t xml:space="preserve">• </w:t>
      </w:r>
      <w:proofErr w:type="spellStart"/>
      <w:r w:rsidRPr="00703345">
        <w:rPr>
          <w:sz w:val="22"/>
          <w:szCs w:val="22"/>
        </w:rPr>
        <w:t>Plesovice</w:t>
      </w:r>
      <w:proofErr w:type="spellEnd"/>
      <w:r w:rsidRPr="00703345">
        <w:rPr>
          <w:sz w:val="22"/>
          <w:szCs w:val="22"/>
        </w:rPr>
        <w:t xml:space="preserve"> and Temora (Sláma et al., 2008; Black et al., 2003) were used as check standards to </w:t>
      </w:r>
    </w:p>
    <w:p w14:paraId="04001548" w14:textId="522535CD" w:rsidR="004C4A92" w:rsidRPr="00703345" w:rsidRDefault="004C4A92" w:rsidP="004C4A92">
      <w:pPr>
        <w:ind w:left="567" w:hanging="141"/>
        <w:rPr>
          <w:sz w:val="22"/>
          <w:szCs w:val="22"/>
        </w:rPr>
      </w:pPr>
      <w:r w:rsidRPr="00703345">
        <w:rPr>
          <w:sz w:val="22"/>
          <w:szCs w:val="22"/>
        </w:rPr>
        <w:t xml:space="preserve">ensure that the ages calculated were </w:t>
      </w:r>
      <w:proofErr w:type="gramStart"/>
      <w:r w:rsidRPr="00703345">
        <w:rPr>
          <w:sz w:val="22"/>
          <w:szCs w:val="22"/>
        </w:rPr>
        <w:t>accurate</w:t>
      </w:r>
      <w:r w:rsidR="00B025E4">
        <w:rPr>
          <w:sz w:val="22"/>
          <w:szCs w:val="22"/>
        </w:rPr>
        <w:t>;</w:t>
      </w:r>
      <w:proofErr w:type="gramEnd"/>
    </w:p>
    <w:p w14:paraId="123D2CCC" w14:textId="77777777" w:rsidR="004C4A92" w:rsidRPr="00703345" w:rsidRDefault="004C4A92" w:rsidP="004C4A92">
      <w:pPr>
        <w:ind w:left="567" w:hanging="141"/>
        <w:rPr>
          <w:sz w:val="22"/>
          <w:szCs w:val="22"/>
        </w:rPr>
      </w:pPr>
      <w:r w:rsidRPr="00703345">
        <w:rPr>
          <w:sz w:val="22"/>
          <w:szCs w:val="22"/>
        </w:rPr>
        <w:t xml:space="preserve">• GSD-IG and </w:t>
      </w:r>
      <w:r w:rsidRPr="00F33C10">
        <w:rPr>
          <w:sz w:val="22"/>
          <w:szCs w:val="22"/>
        </w:rPr>
        <w:t>BCR-2G</w:t>
      </w:r>
      <w:r w:rsidRPr="00703345">
        <w:rPr>
          <w:sz w:val="22"/>
          <w:szCs w:val="22"/>
        </w:rPr>
        <w:t xml:space="preserve"> were analysed as check standards for the trace elements and for the Pb </w:t>
      </w:r>
    </w:p>
    <w:p w14:paraId="4FEC4615" w14:textId="0872A9CD" w:rsidR="004C4A92" w:rsidRPr="00703345" w:rsidRDefault="004C4A92" w:rsidP="004C4A92">
      <w:pPr>
        <w:ind w:left="567" w:hanging="141"/>
        <w:rPr>
          <w:sz w:val="22"/>
          <w:szCs w:val="22"/>
        </w:rPr>
      </w:pPr>
      <w:r w:rsidRPr="00703345">
        <w:rPr>
          <w:sz w:val="22"/>
          <w:szCs w:val="22"/>
        </w:rPr>
        <w:t xml:space="preserve">isotope ratios (reference values from </w:t>
      </w:r>
      <w:hyperlink r:id="rId8" w:history="1">
        <w:r w:rsidR="00B025E4" w:rsidRPr="005F1B42">
          <w:rPr>
            <w:rStyle w:val="Hyperlink"/>
            <w:sz w:val="22"/>
            <w:szCs w:val="22"/>
          </w:rPr>
          <w:t>http://georem.mpch-mainz.gwdg.de</w:t>
        </w:r>
      </w:hyperlink>
      <w:proofErr w:type="gramStart"/>
      <w:r w:rsidRPr="00703345">
        <w:rPr>
          <w:sz w:val="22"/>
          <w:szCs w:val="22"/>
        </w:rPr>
        <w:t>)</w:t>
      </w:r>
      <w:r w:rsidR="00B025E4">
        <w:rPr>
          <w:sz w:val="22"/>
          <w:szCs w:val="22"/>
        </w:rPr>
        <w:t>;</w:t>
      </w:r>
      <w:proofErr w:type="gramEnd"/>
      <w:r w:rsidR="00B025E4">
        <w:rPr>
          <w:sz w:val="22"/>
          <w:szCs w:val="22"/>
        </w:rPr>
        <w:t xml:space="preserve"> </w:t>
      </w:r>
    </w:p>
    <w:p w14:paraId="09A94908" w14:textId="77777777" w:rsidR="00792353" w:rsidRPr="00703345" w:rsidRDefault="00792353" w:rsidP="001F558D">
      <w:pPr>
        <w:jc w:val="both"/>
        <w:rPr>
          <w:sz w:val="22"/>
          <w:szCs w:val="22"/>
        </w:rPr>
      </w:pPr>
    </w:p>
    <w:p w14:paraId="4097E6A5" w14:textId="07F2C60C" w:rsidR="004D3B8A" w:rsidRDefault="00CF5171" w:rsidP="00792353">
      <w:pPr>
        <w:jc w:val="both"/>
        <w:rPr>
          <w:color w:val="000000" w:themeColor="text1"/>
          <w:sz w:val="22"/>
          <w:szCs w:val="22"/>
        </w:rPr>
      </w:pPr>
      <w:r w:rsidRPr="00CF5171">
        <w:rPr>
          <w:color w:val="000000" w:themeColor="text1"/>
          <w:sz w:val="22"/>
          <w:szCs w:val="22"/>
        </w:rPr>
        <w:t>Analyses target</w:t>
      </w:r>
      <w:r w:rsidR="00236C4C">
        <w:rPr>
          <w:color w:val="000000" w:themeColor="text1"/>
          <w:sz w:val="22"/>
          <w:szCs w:val="22"/>
        </w:rPr>
        <w:t>ed</w:t>
      </w:r>
      <w:r w:rsidRPr="00CF5171">
        <w:rPr>
          <w:color w:val="000000" w:themeColor="text1"/>
          <w:sz w:val="22"/>
          <w:szCs w:val="22"/>
        </w:rPr>
        <w:t xml:space="preserve"> </w:t>
      </w:r>
      <w:r w:rsidR="00236C4C">
        <w:rPr>
          <w:color w:val="000000" w:themeColor="text1"/>
          <w:sz w:val="22"/>
          <w:szCs w:val="22"/>
        </w:rPr>
        <w:t xml:space="preserve">the </w:t>
      </w:r>
      <w:r w:rsidR="003200EF" w:rsidRPr="001F558D">
        <w:rPr>
          <w:color w:val="000000" w:themeColor="text1"/>
          <w:sz w:val="22"/>
          <w:szCs w:val="22"/>
        </w:rPr>
        <w:t>centre of small zircons and the rims of larger zircons</w:t>
      </w:r>
      <w:r w:rsidR="00236C4C">
        <w:rPr>
          <w:color w:val="000000" w:themeColor="text1"/>
          <w:sz w:val="22"/>
          <w:szCs w:val="22"/>
        </w:rPr>
        <w:t xml:space="preserve">. </w:t>
      </w:r>
      <w:r w:rsidR="003200EF" w:rsidRPr="001F558D">
        <w:rPr>
          <w:color w:val="000000" w:themeColor="text1"/>
          <w:sz w:val="22"/>
          <w:szCs w:val="22"/>
        </w:rPr>
        <w:t xml:space="preserve"> </w:t>
      </w:r>
      <w:r w:rsidR="00236C4C">
        <w:rPr>
          <w:color w:val="000000" w:themeColor="text1"/>
          <w:sz w:val="22"/>
          <w:szCs w:val="22"/>
        </w:rPr>
        <w:t>S</w:t>
      </w:r>
      <w:r w:rsidR="003200EF" w:rsidRPr="001F558D">
        <w:rPr>
          <w:color w:val="000000" w:themeColor="text1"/>
          <w:sz w:val="22"/>
          <w:szCs w:val="22"/>
        </w:rPr>
        <w:t>ome of the larger zircons had more than one spot</w:t>
      </w:r>
      <w:r w:rsidRPr="00CF5171">
        <w:rPr>
          <w:color w:val="000000" w:themeColor="text1"/>
          <w:sz w:val="22"/>
          <w:szCs w:val="22"/>
        </w:rPr>
        <w:t xml:space="preserve">. </w:t>
      </w:r>
      <w:r w:rsidR="003200EF" w:rsidRPr="00CF5171">
        <w:rPr>
          <w:color w:val="000000" w:themeColor="text1"/>
          <w:sz w:val="22"/>
          <w:szCs w:val="22"/>
        </w:rPr>
        <w:t>Zircons were a</w:t>
      </w:r>
      <w:r w:rsidR="003200EF" w:rsidRPr="001F558D">
        <w:rPr>
          <w:color w:val="000000" w:themeColor="text1"/>
          <w:sz w:val="22"/>
          <w:szCs w:val="22"/>
        </w:rPr>
        <w:t>blated</w:t>
      </w:r>
      <w:r w:rsidR="003200EF" w:rsidRPr="00CF5171">
        <w:rPr>
          <w:color w:val="000000" w:themeColor="text1"/>
          <w:sz w:val="22"/>
          <w:szCs w:val="22"/>
        </w:rPr>
        <w:t xml:space="preserve"> using a </w:t>
      </w:r>
      <w:r w:rsidR="003200EF" w:rsidRPr="001F558D">
        <w:rPr>
          <w:color w:val="000000" w:themeColor="text1"/>
          <w:sz w:val="22"/>
          <w:szCs w:val="22"/>
        </w:rPr>
        <w:t>20-micron</w:t>
      </w:r>
      <w:r w:rsidR="003200EF" w:rsidRPr="00CF5171">
        <w:rPr>
          <w:color w:val="000000" w:themeColor="text1"/>
          <w:sz w:val="22"/>
          <w:szCs w:val="22"/>
        </w:rPr>
        <w:t xml:space="preserve"> laser beam size, firing frequency at 5 Hz and a laser beam energy density of ~ 2 J/cm</w:t>
      </w:r>
      <w:r w:rsidR="003200EF" w:rsidRPr="00C51F81">
        <w:rPr>
          <w:color w:val="000000" w:themeColor="text1"/>
          <w:sz w:val="22"/>
          <w:szCs w:val="22"/>
          <w:vertAlign w:val="superscript"/>
        </w:rPr>
        <w:t>2</w:t>
      </w:r>
      <w:r w:rsidR="003200EF" w:rsidRPr="00CF5171">
        <w:rPr>
          <w:color w:val="000000" w:themeColor="text1"/>
          <w:sz w:val="22"/>
          <w:szCs w:val="22"/>
        </w:rPr>
        <w:t xml:space="preserve">. </w:t>
      </w:r>
      <w:r w:rsidR="003200EF" w:rsidRPr="001F558D">
        <w:rPr>
          <w:color w:val="000000" w:themeColor="text1"/>
          <w:sz w:val="22"/>
          <w:szCs w:val="22"/>
        </w:rPr>
        <w:t xml:space="preserve">With each laser ablation analysis, the machine began with a blank gas measurement for 30 seconds to measure baseline elements which was then </w:t>
      </w:r>
      <w:r w:rsidR="003200EF" w:rsidRPr="001F558D">
        <w:rPr>
          <w:color w:val="000000" w:themeColor="text1"/>
          <w:sz w:val="22"/>
          <w:szCs w:val="22"/>
        </w:rPr>
        <w:lastRenderedPageBreak/>
        <w:t xml:space="preserve">followed by 20 seconds where the laser was in use. </w:t>
      </w:r>
      <w:r w:rsidRPr="00CF5171">
        <w:rPr>
          <w:color w:val="000000" w:themeColor="text1"/>
          <w:sz w:val="22"/>
          <w:szCs w:val="22"/>
        </w:rPr>
        <w:t xml:space="preserve">A flow of </w:t>
      </w:r>
      <w:proofErr w:type="spellStart"/>
      <w:r w:rsidRPr="00CF5171">
        <w:rPr>
          <w:color w:val="000000" w:themeColor="text1"/>
          <w:sz w:val="22"/>
          <w:szCs w:val="22"/>
        </w:rPr>
        <w:t>He</w:t>
      </w:r>
      <w:proofErr w:type="spellEnd"/>
      <w:r w:rsidRPr="00CF5171">
        <w:rPr>
          <w:color w:val="000000" w:themeColor="text1"/>
          <w:sz w:val="22"/>
          <w:szCs w:val="22"/>
        </w:rPr>
        <w:t xml:space="preserve"> carrier gas at a rate of 0.35 litres/minute </w:t>
      </w:r>
      <w:r w:rsidR="001F558D" w:rsidRPr="001F558D">
        <w:rPr>
          <w:color w:val="000000" w:themeColor="text1"/>
          <w:sz w:val="22"/>
          <w:szCs w:val="22"/>
        </w:rPr>
        <w:t xml:space="preserve">was mixed with </w:t>
      </w:r>
      <w:proofErr w:type="spellStart"/>
      <w:r w:rsidR="001F558D" w:rsidRPr="001F558D">
        <w:rPr>
          <w:color w:val="000000" w:themeColor="text1"/>
          <w:sz w:val="22"/>
          <w:szCs w:val="22"/>
        </w:rPr>
        <w:t>Ar</w:t>
      </w:r>
      <w:proofErr w:type="spellEnd"/>
      <w:r w:rsidR="001F558D" w:rsidRPr="001F558D">
        <w:rPr>
          <w:color w:val="000000" w:themeColor="text1"/>
          <w:sz w:val="22"/>
          <w:szCs w:val="22"/>
        </w:rPr>
        <w:t xml:space="preserve"> gas </w:t>
      </w:r>
      <w:r w:rsidRPr="00CF5171">
        <w:rPr>
          <w:color w:val="000000" w:themeColor="text1"/>
          <w:sz w:val="22"/>
          <w:szCs w:val="22"/>
        </w:rPr>
        <w:t xml:space="preserve">carried particles </w:t>
      </w:r>
      <w:r w:rsidR="001F558D" w:rsidRPr="001F558D">
        <w:rPr>
          <w:color w:val="000000" w:themeColor="text1"/>
          <w:sz w:val="22"/>
          <w:szCs w:val="22"/>
        </w:rPr>
        <w:t>from the ablated zircon</w:t>
      </w:r>
      <w:r w:rsidRPr="00CF5171">
        <w:rPr>
          <w:color w:val="000000" w:themeColor="text1"/>
          <w:sz w:val="22"/>
          <w:szCs w:val="22"/>
        </w:rPr>
        <w:t xml:space="preserve"> out of the chamber</w:t>
      </w:r>
      <w:r w:rsidR="001F558D" w:rsidRPr="001F558D">
        <w:rPr>
          <w:color w:val="000000" w:themeColor="text1"/>
          <w:sz w:val="22"/>
          <w:szCs w:val="22"/>
        </w:rPr>
        <w:t xml:space="preserve"> and to the plasma torch.</w:t>
      </w:r>
      <w:r w:rsidRPr="00CF5171">
        <w:rPr>
          <w:color w:val="000000" w:themeColor="text1"/>
          <w:sz w:val="22"/>
          <w:szCs w:val="22"/>
        </w:rPr>
        <w:t xml:space="preserve"> </w:t>
      </w:r>
      <w:r w:rsidR="001F558D" w:rsidRPr="001F558D">
        <w:rPr>
          <w:color w:val="000000" w:themeColor="text1"/>
          <w:sz w:val="22"/>
          <w:szCs w:val="22"/>
        </w:rPr>
        <w:t>The i</w:t>
      </w:r>
      <w:r w:rsidRPr="00CF5171">
        <w:rPr>
          <w:color w:val="000000" w:themeColor="text1"/>
          <w:sz w:val="22"/>
          <w:szCs w:val="22"/>
        </w:rPr>
        <w:t xml:space="preserve">sotopes </w:t>
      </w:r>
      <w:r w:rsidR="001F558D" w:rsidRPr="001F558D">
        <w:rPr>
          <w:color w:val="000000" w:themeColor="text1"/>
          <w:sz w:val="22"/>
          <w:szCs w:val="22"/>
        </w:rPr>
        <w:t xml:space="preserve">which were </w:t>
      </w:r>
      <w:r w:rsidRPr="00CF5171">
        <w:rPr>
          <w:color w:val="000000" w:themeColor="text1"/>
          <w:sz w:val="22"/>
          <w:szCs w:val="22"/>
        </w:rPr>
        <w:t xml:space="preserve">measured </w:t>
      </w:r>
      <w:r w:rsidR="001F558D" w:rsidRPr="001F558D">
        <w:rPr>
          <w:color w:val="000000" w:themeColor="text1"/>
          <w:sz w:val="22"/>
          <w:szCs w:val="22"/>
        </w:rPr>
        <w:t xml:space="preserve">included </w:t>
      </w:r>
      <w:r w:rsidRPr="00CF5171">
        <w:rPr>
          <w:color w:val="000000" w:themeColor="text1"/>
          <w:sz w:val="22"/>
          <w:szCs w:val="22"/>
        </w:rPr>
        <w:t xml:space="preserve">31P, 49Ti, 56Fe, 89Y, 91Zr, 93Nb, 139La, 140Ce, 141Pr, </w:t>
      </w:r>
      <w:proofErr w:type="gramStart"/>
      <w:r w:rsidRPr="00CF5171">
        <w:rPr>
          <w:color w:val="000000" w:themeColor="text1"/>
          <w:sz w:val="22"/>
          <w:szCs w:val="22"/>
        </w:rPr>
        <w:t>146Nd</w:t>
      </w:r>
      <w:proofErr w:type="gramEnd"/>
      <w:r w:rsidRPr="00CF5171">
        <w:rPr>
          <w:color w:val="000000" w:themeColor="text1"/>
          <w:sz w:val="22"/>
          <w:szCs w:val="22"/>
        </w:rPr>
        <w:t>, 147Sm, 153Eu, 157Gd, 159Tb, 163Dy, 165Ho, 166Er, 169Tm, 172Yb, 175Lu, 178Hf, 181Ta, 204Pb, 206Pb, 207Pb, 208Pb, 232Th, 235U and 238U</w:t>
      </w:r>
      <w:r w:rsidR="001F558D" w:rsidRPr="001F558D">
        <w:rPr>
          <w:color w:val="000000" w:themeColor="text1"/>
          <w:sz w:val="22"/>
          <w:szCs w:val="22"/>
        </w:rPr>
        <w:t xml:space="preserve">. Each element was measured </w:t>
      </w:r>
      <w:r w:rsidR="00236C4C">
        <w:rPr>
          <w:color w:val="000000" w:themeColor="text1"/>
          <w:sz w:val="22"/>
          <w:szCs w:val="22"/>
        </w:rPr>
        <w:t xml:space="preserve">for </w:t>
      </w:r>
      <w:r w:rsidR="001F558D" w:rsidRPr="001F558D">
        <w:rPr>
          <w:color w:val="000000" w:themeColor="text1"/>
          <w:sz w:val="22"/>
          <w:szCs w:val="22"/>
        </w:rPr>
        <w:t>approximately 20 seconds, however, the Pb isotopes were measure</w:t>
      </w:r>
      <w:r w:rsidR="00236C4C">
        <w:rPr>
          <w:color w:val="000000" w:themeColor="text1"/>
          <w:sz w:val="22"/>
          <w:szCs w:val="22"/>
        </w:rPr>
        <w:t>d</w:t>
      </w:r>
      <w:r w:rsidR="001F558D" w:rsidRPr="001F558D">
        <w:rPr>
          <w:color w:val="000000" w:themeColor="text1"/>
          <w:sz w:val="22"/>
          <w:szCs w:val="22"/>
        </w:rPr>
        <w:t xml:space="preserve"> on average over a longer period. If a measurement showed sufficient element ratios it was labelled, and geochemistry was saved and recorded.</w:t>
      </w:r>
    </w:p>
    <w:p w14:paraId="29582F96" w14:textId="77777777" w:rsidR="003559CD" w:rsidRPr="00703345" w:rsidRDefault="003559CD" w:rsidP="00792353">
      <w:pPr>
        <w:jc w:val="both"/>
        <w:rPr>
          <w:sz w:val="22"/>
          <w:szCs w:val="22"/>
        </w:rPr>
      </w:pPr>
    </w:p>
    <w:p w14:paraId="54470850" w14:textId="19E76C40" w:rsidR="00792353" w:rsidRPr="00703345" w:rsidRDefault="003559CD" w:rsidP="00792353">
      <w:pPr>
        <w:jc w:val="both"/>
        <w:rPr>
          <w:sz w:val="22"/>
          <w:szCs w:val="22"/>
        </w:rPr>
      </w:pPr>
      <w:r>
        <w:rPr>
          <w:sz w:val="22"/>
          <w:szCs w:val="22"/>
        </w:rPr>
        <w:t>Samples were analysed on three different days: EK005 was completed on the 4</w:t>
      </w:r>
      <w:r w:rsidRPr="003559CD">
        <w:rPr>
          <w:sz w:val="22"/>
          <w:szCs w:val="22"/>
          <w:vertAlign w:val="superscript"/>
        </w:rPr>
        <w:t>th</w:t>
      </w:r>
      <w:r>
        <w:rPr>
          <w:sz w:val="22"/>
          <w:szCs w:val="22"/>
        </w:rPr>
        <w:t xml:space="preserve"> of November 2021; MM002, some of MM004, MM005 and MM006 were completed on the 13</w:t>
      </w:r>
      <w:r w:rsidRPr="003559CD">
        <w:rPr>
          <w:sz w:val="22"/>
          <w:szCs w:val="22"/>
          <w:vertAlign w:val="superscript"/>
        </w:rPr>
        <w:t>th</w:t>
      </w:r>
      <w:r>
        <w:rPr>
          <w:sz w:val="22"/>
          <w:szCs w:val="22"/>
        </w:rPr>
        <w:t xml:space="preserve"> of January 2022; and the final MM004 were done on the 20</w:t>
      </w:r>
      <w:r w:rsidRPr="003559CD">
        <w:rPr>
          <w:sz w:val="22"/>
          <w:szCs w:val="22"/>
          <w:vertAlign w:val="superscript"/>
        </w:rPr>
        <w:t>th</w:t>
      </w:r>
      <w:r>
        <w:rPr>
          <w:sz w:val="22"/>
          <w:szCs w:val="22"/>
        </w:rPr>
        <w:t xml:space="preserve"> of January 2022.  </w:t>
      </w:r>
      <w:r w:rsidR="005631BB">
        <w:rPr>
          <w:sz w:val="22"/>
          <w:szCs w:val="22"/>
        </w:rPr>
        <w:t xml:space="preserve">Results from standards are organised by day of analysis in Appendix 4. </w:t>
      </w:r>
    </w:p>
    <w:p w14:paraId="7BD9267B" w14:textId="1E782814" w:rsidR="004D3B8A" w:rsidRPr="00616E88" w:rsidRDefault="004D3B8A" w:rsidP="004D3B8A">
      <w:pPr>
        <w:pStyle w:val="Heading1"/>
        <w:rPr>
          <w:rFonts w:asciiTheme="minorHAnsi" w:hAnsiTheme="minorHAnsi" w:cstheme="minorHAnsi"/>
          <w:b/>
          <w:bCs/>
          <w:color w:val="000000" w:themeColor="text1"/>
          <w:sz w:val="24"/>
          <w:szCs w:val="24"/>
          <w:lang w:val="en-US"/>
        </w:rPr>
      </w:pPr>
      <w:r w:rsidRPr="00616E88">
        <w:rPr>
          <w:rFonts w:asciiTheme="minorHAnsi" w:hAnsiTheme="minorHAnsi" w:cstheme="minorHAnsi"/>
          <w:b/>
          <w:bCs/>
          <w:color w:val="000000" w:themeColor="text1"/>
          <w:sz w:val="24"/>
          <w:szCs w:val="24"/>
          <w:lang w:val="en-US"/>
        </w:rPr>
        <w:t>Data reduction</w:t>
      </w:r>
    </w:p>
    <w:p w14:paraId="4849557D" w14:textId="77777777" w:rsidR="00CF5171" w:rsidRDefault="00CF5171" w:rsidP="00CF5171">
      <w:pPr>
        <w:pStyle w:val="NoSpacing"/>
        <w:rPr>
          <w:rFonts w:cstheme="minorHAnsi"/>
          <w:lang w:val="en-US"/>
        </w:rPr>
      </w:pPr>
    </w:p>
    <w:p w14:paraId="66916B89" w14:textId="2448C22B" w:rsidR="00305594" w:rsidRDefault="00305594" w:rsidP="00D7432C">
      <w:pPr>
        <w:pStyle w:val="NoSpacing"/>
        <w:jc w:val="both"/>
        <w:rPr>
          <w:rFonts w:cstheme="minorHAnsi"/>
          <w:lang w:val="en-US"/>
        </w:rPr>
      </w:pPr>
      <w:r>
        <w:rPr>
          <w:rFonts w:cstheme="minorHAnsi"/>
          <w:lang w:val="en-US"/>
        </w:rPr>
        <w:t xml:space="preserve">LADR software version 1.1.07 was used for data reduction of the samples. The software sets the best parameters and correction using standards across the analysis </w:t>
      </w:r>
      <w:r w:rsidR="00F36783">
        <w:rPr>
          <w:rFonts w:cstheme="minorHAnsi"/>
          <w:lang w:val="en-US"/>
        </w:rPr>
        <w:t>period</w:t>
      </w:r>
      <w:r>
        <w:rPr>
          <w:rFonts w:cstheme="minorHAnsi"/>
          <w:lang w:val="en-US"/>
        </w:rPr>
        <w:t xml:space="preserve"> automatically. These were examined and model formulas were corrected slightly. </w:t>
      </w:r>
    </w:p>
    <w:p w14:paraId="7DE87C01" w14:textId="729C4495" w:rsidR="00CF5171" w:rsidRDefault="00CF5171" w:rsidP="00D7432C">
      <w:pPr>
        <w:pStyle w:val="NoSpacing"/>
        <w:jc w:val="both"/>
        <w:rPr>
          <w:rFonts w:cstheme="minorHAnsi"/>
          <w:lang w:val="en-US"/>
        </w:rPr>
      </w:pPr>
    </w:p>
    <w:p w14:paraId="02A63C78" w14:textId="265E072D" w:rsidR="004D3B8A" w:rsidRDefault="00305594" w:rsidP="00D7432C">
      <w:pPr>
        <w:pStyle w:val="NoSpacing"/>
        <w:jc w:val="both"/>
        <w:rPr>
          <w:rFonts w:ascii="Calibri" w:hAnsi="Calibri" w:cs="Calibri"/>
        </w:rPr>
      </w:pPr>
      <w:r>
        <w:rPr>
          <w:rFonts w:cstheme="minorHAnsi"/>
          <w:lang w:val="en-US"/>
        </w:rPr>
        <w:t xml:space="preserve">Once the analyses standards and parameters were completed, each sample was examined individually and for each crystal, notes of quality and disturbance </w:t>
      </w:r>
      <w:r w:rsidR="00591AFF">
        <w:rPr>
          <w:rFonts w:cstheme="minorHAnsi"/>
          <w:lang w:val="en-US"/>
        </w:rPr>
        <w:t xml:space="preserve">were made. Individual crystals were </w:t>
      </w:r>
      <w:r w:rsidR="00F36783">
        <w:rPr>
          <w:rFonts w:cstheme="minorHAnsi"/>
          <w:lang w:val="en-US"/>
        </w:rPr>
        <w:t>excluded</w:t>
      </w:r>
      <w:r w:rsidR="00591AFF">
        <w:rPr>
          <w:rFonts w:cstheme="minorHAnsi"/>
          <w:lang w:val="en-US"/>
        </w:rPr>
        <w:t xml:space="preserve"> if t</w:t>
      </w:r>
      <w:r w:rsidR="00591AFF">
        <w:rPr>
          <w:rFonts w:ascii="Calibri" w:hAnsi="Calibri" w:cs="Calibri"/>
        </w:rPr>
        <w:t xml:space="preserve">hey had major inclusions that would alter the </w:t>
      </w:r>
      <w:r w:rsidR="00F36783">
        <w:rPr>
          <w:rFonts w:ascii="Calibri" w:hAnsi="Calibri" w:cs="Calibri"/>
        </w:rPr>
        <w:t xml:space="preserve">age </w:t>
      </w:r>
      <w:r w:rsidR="00591AFF">
        <w:rPr>
          <w:rFonts w:ascii="Calibri" w:hAnsi="Calibri" w:cs="Calibri"/>
        </w:rPr>
        <w:t xml:space="preserve">analysis, showed significant evidence of Pb loss, or increased levels of common Pb that </w:t>
      </w:r>
      <w:r w:rsidR="00F36783">
        <w:rPr>
          <w:rFonts w:ascii="Calibri" w:hAnsi="Calibri" w:cs="Calibri"/>
        </w:rPr>
        <w:t>made the analyses discordant.</w:t>
      </w:r>
      <w:r w:rsidR="002951D7">
        <w:rPr>
          <w:rFonts w:ascii="Calibri" w:hAnsi="Calibri" w:cs="Calibri"/>
        </w:rPr>
        <w:t xml:space="preserve"> Any analysis tha</w:t>
      </w:r>
      <w:r w:rsidR="00450869">
        <w:rPr>
          <w:rFonts w:ascii="Calibri" w:hAnsi="Calibri" w:cs="Calibri"/>
        </w:rPr>
        <w:t>t</w:t>
      </w:r>
      <w:r w:rsidR="002951D7">
        <w:rPr>
          <w:rFonts w:ascii="Calibri" w:hAnsi="Calibri" w:cs="Calibri"/>
        </w:rPr>
        <w:t xml:space="preserve"> w</w:t>
      </w:r>
      <w:r w:rsidR="00450869">
        <w:rPr>
          <w:rFonts w:ascii="Calibri" w:hAnsi="Calibri" w:cs="Calibri"/>
        </w:rPr>
        <w:t>as</w:t>
      </w:r>
      <w:r w:rsidR="002951D7">
        <w:rPr>
          <w:rFonts w:ascii="Calibri" w:hAnsi="Calibri" w:cs="Calibri"/>
        </w:rPr>
        <w:t xml:space="preserve"> less than 75% concordant or grains that had an age with a standard error greater than 20 were also excluded</w:t>
      </w:r>
      <w:r w:rsidR="00450869">
        <w:rPr>
          <w:rFonts w:ascii="Calibri" w:hAnsi="Calibri" w:cs="Calibri"/>
        </w:rPr>
        <w:t>.</w:t>
      </w:r>
      <w:r w:rsidR="002951D7">
        <w:rPr>
          <w:rFonts w:ascii="Calibri" w:hAnsi="Calibri" w:cs="Calibri"/>
        </w:rPr>
        <w:t xml:space="preserve"> </w:t>
      </w:r>
      <w:r w:rsidR="00F36783">
        <w:rPr>
          <w:rFonts w:ascii="Calibri" w:hAnsi="Calibri" w:cs="Calibri"/>
        </w:rPr>
        <w:t xml:space="preserve">In some analysis the ablation included a rim and core age which were then trimmed and separated into two ages if possible. In other cases, the laser may have blasted into the epoxy beneath or around the zircon; these analyses were trimmed appropriately. Where analyses had to be trimmed or split the older age was typically taken. Overall, </w:t>
      </w:r>
      <w:r w:rsidR="00D7432C">
        <w:rPr>
          <w:rFonts w:ascii="Calibri" w:hAnsi="Calibri" w:cs="Calibri"/>
        </w:rPr>
        <w:t xml:space="preserve">408 laser ablation spots were performed across the samples and 76 were rejected from the analyses. It should be noted that spots 21 and onwards for sample MM004 were conducted on </w:t>
      </w:r>
      <w:r w:rsidR="005631BB">
        <w:rPr>
          <w:rFonts w:ascii="Calibri" w:hAnsi="Calibri" w:cs="Calibri"/>
        </w:rPr>
        <w:t>a different day (20</w:t>
      </w:r>
      <w:r w:rsidR="005631BB" w:rsidRPr="005631BB">
        <w:rPr>
          <w:rFonts w:ascii="Calibri" w:hAnsi="Calibri" w:cs="Calibri"/>
          <w:vertAlign w:val="superscript"/>
        </w:rPr>
        <w:t>th</w:t>
      </w:r>
      <w:r w:rsidR="005631BB">
        <w:rPr>
          <w:rFonts w:ascii="Calibri" w:hAnsi="Calibri" w:cs="Calibri"/>
        </w:rPr>
        <w:t xml:space="preserve"> of January)</w:t>
      </w:r>
      <w:r w:rsidR="00D7432C">
        <w:rPr>
          <w:rFonts w:ascii="Calibri" w:hAnsi="Calibri" w:cs="Calibri"/>
        </w:rPr>
        <w:t xml:space="preserve">. The </w:t>
      </w:r>
      <w:r w:rsidR="002B5336">
        <w:rPr>
          <w:rFonts w:ascii="Calibri" w:hAnsi="Calibri" w:cs="Calibri"/>
        </w:rPr>
        <w:t>LADR/</w:t>
      </w:r>
      <w:r w:rsidR="005631BB">
        <w:rPr>
          <w:rFonts w:ascii="Calibri" w:hAnsi="Calibri" w:cs="Calibri"/>
        </w:rPr>
        <w:t>processed</w:t>
      </w:r>
      <w:r w:rsidR="00D7432C">
        <w:rPr>
          <w:rFonts w:ascii="Calibri" w:hAnsi="Calibri" w:cs="Calibri"/>
        </w:rPr>
        <w:t xml:space="preserve"> data can be found in Appendix 4. </w:t>
      </w:r>
    </w:p>
    <w:p w14:paraId="5885EBE8" w14:textId="77777777" w:rsidR="00703345" w:rsidRPr="00D7432C" w:rsidRDefault="00703345" w:rsidP="00D7432C">
      <w:pPr>
        <w:pStyle w:val="NoSpacing"/>
        <w:jc w:val="both"/>
        <w:rPr>
          <w:rFonts w:cstheme="minorHAnsi"/>
          <w:lang w:val="en-US"/>
        </w:rPr>
      </w:pPr>
    </w:p>
    <w:p w14:paraId="06A8F72B" w14:textId="5E16BFA3" w:rsidR="004D3B8A" w:rsidRPr="000B19AE" w:rsidRDefault="004D3B8A" w:rsidP="004D3B8A">
      <w:pPr>
        <w:pStyle w:val="Heading1"/>
        <w:rPr>
          <w:rFonts w:asciiTheme="minorHAnsi" w:hAnsiTheme="minorHAnsi" w:cstheme="minorHAnsi"/>
          <w:b/>
          <w:bCs/>
          <w:color w:val="000000" w:themeColor="text1"/>
          <w:sz w:val="24"/>
          <w:szCs w:val="24"/>
          <w:lang w:val="en-US"/>
        </w:rPr>
      </w:pPr>
      <w:r w:rsidRPr="000B19AE">
        <w:rPr>
          <w:rFonts w:asciiTheme="minorHAnsi" w:hAnsiTheme="minorHAnsi" w:cstheme="minorHAnsi"/>
          <w:b/>
          <w:bCs/>
          <w:color w:val="000000" w:themeColor="text1"/>
          <w:sz w:val="24"/>
          <w:szCs w:val="24"/>
          <w:lang w:val="en-US"/>
        </w:rPr>
        <w:t xml:space="preserve">Finding the populations of the youngest zircon ages </w:t>
      </w:r>
    </w:p>
    <w:p w14:paraId="33133B26" w14:textId="77777777" w:rsidR="00D7432C" w:rsidRDefault="00D7432C" w:rsidP="00D7432C">
      <w:pPr>
        <w:pStyle w:val="NoSpacing"/>
        <w:rPr>
          <w:lang w:val="en-US"/>
        </w:rPr>
      </w:pPr>
    </w:p>
    <w:p w14:paraId="271E9F13" w14:textId="325B1B64" w:rsidR="00D7432C" w:rsidRPr="00C25A1D" w:rsidRDefault="00D7432C" w:rsidP="00D7432C">
      <w:pPr>
        <w:pStyle w:val="NoSpacing"/>
        <w:rPr>
          <w:lang w:val="en-US"/>
        </w:rPr>
      </w:pPr>
      <w:r>
        <w:rPr>
          <w:lang w:val="en-US"/>
        </w:rPr>
        <w:t xml:space="preserve">Once the data had been </w:t>
      </w:r>
      <w:r w:rsidR="00E16FAE">
        <w:rPr>
          <w:lang w:val="en-US"/>
        </w:rPr>
        <w:t xml:space="preserve">exported into a formatted excel document, percentage concordance was formulated for each sample and </w:t>
      </w:r>
      <w:r w:rsidR="00BB225C">
        <w:rPr>
          <w:lang w:val="en-US"/>
        </w:rPr>
        <w:t>the crystals which had less than 70% concordance were rejected</w:t>
      </w:r>
      <w:r w:rsidR="0065417A">
        <w:rPr>
          <w:lang w:val="en-US"/>
        </w:rPr>
        <w:t xml:space="preserve"> along with </w:t>
      </w:r>
      <w:r w:rsidR="00BB225C">
        <w:rPr>
          <w:lang w:val="en-US"/>
        </w:rPr>
        <w:t xml:space="preserve">crystals which had been noted </w:t>
      </w:r>
      <w:r w:rsidR="0065417A">
        <w:rPr>
          <w:lang w:val="en-US"/>
        </w:rPr>
        <w:t>as</w:t>
      </w:r>
      <w:r w:rsidR="00BB225C">
        <w:rPr>
          <w:lang w:val="en-US"/>
        </w:rPr>
        <w:t xml:space="preserve"> rejected </w:t>
      </w:r>
      <w:r w:rsidR="0065417A">
        <w:rPr>
          <w:lang w:val="en-US"/>
        </w:rPr>
        <w:t xml:space="preserve">(for </w:t>
      </w:r>
      <w:r w:rsidR="00BB225C">
        <w:rPr>
          <w:lang w:val="en-US"/>
        </w:rPr>
        <w:t>reasons listed above</w:t>
      </w:r>
      <w:r w:rsidR="0065417A">
        <w:rPr>
          <w:lang w:val="en-US"/>
        </w:rPr>
        <w:t xml:space="preserve">). </w:t>
      </w:r>
      <w:r w:rsidR="008304DB">
        <w:rPr>
          <w:lang w:val="en-US"/>
        </w:rPr>
        <w:t xml:space="preserve"> </w:t>
      </w:r>
      <w:r w:rsidR="008304DB" w:rsidRPr="063C2060">
        <w:rPr>
          <w:lang w:val="en-US"/>
        </w:rPr>
        <w:t xml:space="preserve"> </w:t>
      </w:r>
      <w:r w:rsidR="008304DB" w:rsidRPr="063C2060">
        <w:rPr>
          <w:vertAlign w:val="superscript"/>
          <w:lang w:val="en-US"/>
        </w:rPr>
        <w:t>207</w:t>
      </w:r>
      <w:r w:rsidR="008304DB" w:rsidRPr="063C2060">
        <w:rPr>
          <w:lang w:val="en-US"/>
        </w:rPr>
        <w:t xml:space="preserve">Pb corrected </w:t>
      </w:r>
      <w:r w:rsidR="008304DB" w:rsidRPr="063C2060">
        <w:rPr>
          <w:vertAlign w:val="superscript"/>
          <w:lang w:val="en-US"/>
        </w:rPr>
        <w:t>206</w:t>
      </w:r>
      <w:r w:rsidR="008304DB" w:rsidRPr="063C2060">
        <w:rPr>
          <w:lang w:val="en-US"/>
        </w:rPr>
        <w:t>Pb/</w:t>
      </w:r>
      <w:r w:rsidR="008304DB" w:rsidRPr="063C2060">
        <w:rPr>
          <w:vertAlign w:val="superscript"/>
          <w:lang w:val="en-US"/>
        </w:rPr>
        <w:t>238</w:t>
      </w:r>
      <w:r w:rsidR="008304DB" w:rsidRPr="063C2060">
        <w:rPr>
          <w:lang w:val="en-US"/>
        </w:rPr>
        <w:t>U age w</w:t>
      </w:r>
      <w:r w:rsidR="0065417A">
        <w:rPr>
          <w:lang w:val="en-US"/>
        </w:rPr>
        <w:t>ere</w:t>
      </w:r>
      <w:r w:rsidR="008304DB" w:rsidRPr="063C2060">
        <w:rPr>
          <w:lang w:val="en-US"/>
        </w:rPr>
        <w:t xml:space="preserve"> calculated</w:t>
      </w:r>
      <w:r w:rsidR="0065417A">
        <w:rPr>
          <w:lang w:val="en-US"/>
        </w:rPr>
        <w:t xml:space="preserve"> for the samples that had not been rejected</w:t>
      </w:r>
      <w:r w:rsidR="00BB225C">
        <w:rPr>
          <w:lang w:val="en-US"/>
        </w:rPr>
        <w:t xml:space="preserve">. After the reliable analyses had been </w:t>
      </w:r>
      <w:r w:rsidR="00CF2D4C">
        <w:rPr>
          <w:lang w:val="en-US"/>
        </w:rPr>
        <w:t xml:space="preserve">recognized, a </w:t>
      </w:r>
      <w:r w:rsidR="00D23B16">
        <w:rPr>
          <w:lang w:val="en-US"/>
        </w:rPr>
        <w:t>probability density plot was created using the add-in I</w:t>
      </w:r>
      <w:r w:rsidR="0065417A">
        <w:rPr>
          <w:lang w:val="en-US"/>
        </w:rPr>
        <w:t xml:space="preserve">SOPLOT </w:t>
      </w:r>
      <w:r w:rsidR="00D23B16">
        <w:rPr>
          <w:lang w:val="en-US"/>
        </w:rPr>
        <w:t>(</w:t>
      </w:r>
      <w:r w:rsidR="00D23B16" w:rsidRPr="063C2060">
        <w:rPr>
          <w:lang w:val="en-US"/>
        </w:rPr>
        <w:t>Ludwig</w:t>
      </w:r>
      <w:r w:rsidR="00D23B16">
        <w:rPr>
          <w:lang w:val="en-US"/>
        </w:rPr>
        <w:t>,</w:t>
      </w:r>
      <w:r w:rsidR="00D23B16" w:rsidRPr="063C2060">
        <w:rPr>
          <w:lang w:val="en-US"/>
        </w:rPr>
        <w:t xml:space="preserve"> 20</w:t>
      </w:r>
      <w:r w:rsidR="00D23B16">
        <w:rPr>
          <w:lang w:val="en-US"/>
        </w:rPr>
        <w:t>12)</w:t>
      </w:r>
      <w:r w:rsidR="00450869">
        <w:rPr>
          <w:lang w:val="en-US"/>
        </w:rPr>
        <w:t xml:space="preserve"> </w:t>
      </w:r>
      <w:r w:rsidR="00D23B16">
        <w:rPr>
          <w:lang w:val="en-US"/>
        </w:rPr>
        <w:t xml:space="preserve">to show </w:t>
      </w:r>
      <w:r w:rsidR="008304DB">
        <w:rPr>
          <w:lang w:val="en-US"/>
        </w:rPr>
        <w:t>the zircon populations. Then, the youngest peak was used as a starting point</w:t>
      </w:r>
      <w:r w:rsidRPr="063C2060">
        <w:rPr>
          <w:lang w:val="en-US"/>
        </w:rPr>
        <w:t xml:space="preserve"> </w:t>
      </w:r>
      <w:r w:rsidR="008304DB">
        <w:rPr>
          <w:lang w:val="en-US"/>
        </w:rPr>
        <w:t>to find the most reasonable zircon age to use to calculate the</w:t>
      </w:r>
      <w:r w:rsidRPr="063C2060">
        <w:rPr>
          <w:lang w:val="en-US"/>
        </w:rPr>
        <w:t xml:space="preserve"> weighted mean maximum deposition age</w:t>
      </w:r>
      <w:r w:rsidR="008304DB">
        <w:rPr>
          <w:lang w:val="en-US"/>
        </w:rPr>
        <w:t xml:space="preserve"> using I</w:t>
      </w:r>
      <w:r w:rsidR="0065417A">
        <w:rPr>
          <w:lang w:val="en-US"/>
        </w:rPr>
        <w:t>SOPLOT</w:t>
      </w:r>
      <w:r w:rsidR="008304DB">
        <w:rPr>
          <w:lang w:val="en-US"/>
        </w:rPr>
        <w:t xml:space="preserve"> (Ludwig, 2012). </w:t>
      </w:r>
      <w:r w:rsidRPr="063C2060">
        <w:rPr>
          <w:lang w:val="en-US"/>
        </w:rPr>
        <w:t xml:space="preserve"> </w:t>
      </w:r>
      <w:r w:rsidR="008304DB">
        <w:rPr>
          <w:lang w:val="en-US"/>
        </w:rPr>
        <w:t xml:space="preserve">Finally, </w:t>
      </w:r>
      <w:r w:rsidR="0065417A">
        <w:rPr>
          <w:lang w:val="en-US"/>
        </w:rPr>
        <w:t>ISOPLOT</w:t>
      </w:r>
      <w:r w:rsidR="008304DB">
        <w:rPr>
          <w:lang w:val="en-US"/>
        </w:rPr>
        <w:t xml:space="preserve"> was used to create</w:t>
      </w:r>
      <w:r w:rsidRPr="063C2060">
        <w:rPr>
          <w:lang w:val="en-US"/>
        </w:rPr>
        <w:t xml:space="preserve"> Tera-Wasserberg Concordia diagrams. </w:t>
      </w:r>
      <w:r w:rsidR="008304DB">
        <w:rPr>
          <w:lang w:val="en-US"/>
        </w:rPr>
        <w:t xml:space="preserve">The age of the youngest zircon was calculated by selecting the </w:t>
      </w:r>
      <w:r w:rsidR="0065417A">
        <w:rPr>
          <w:lang w:val="en-US"/>
        </w:rPr>
        <w:t xml:space="preserve">reliable </w:t>
      </w:r>
      <w:r w:rsidR="008304DB">
        <w:rPr>
          <w:lang w:val="en-US"/>
        </w:rPr>
        <w:t>zircons</w:t>
      </w:r>
      <w:r w:rsidR="0065417A">
        <w:rPr>
          <w:lang w:val="en-US"/>
        </w:rPr>
        <w:t xml:space="preserve"> </w:t>
      </w:r>
      <w:r w:rsidR="008304DB">
        <w:rPr>
          <w:lang w:val="en-US"/>
        </w:rPr>
        <w:t>in each sample and using the youngest age function in the I</w:t>
      </w:r>
      <w:r w:rsidR="0065417A">
        <w:rPr>
          <w:lang w:val="en-US"/>
        </w:rPr>
        <w:t>SOPLOT</w:t>
      </w:r>
      <w:r w:rsidR="008304DB">
        <w:rPr>
          <w:lang w:val="en-US"/>
        </w:rPr>
        <w:t xml:space="preserve"> add-in. </w:t>
      </w:r>
    </w:p>
    <w:p w14:paraId="06268677" w14:textId="09E5D6BD" w:rsidR="004D3B8A" w:rsidRDefault="004D3B8A"/>
    <w:p w14:paraId="75A69AE2" w14:textId="5B225C39" w:rsidR="00703345" w:rsidRPr="000B19AE" w:rsidRDefault="00703345" w:rsidP="00703345">
      <w:pPr>
        <w:pStyle w:val="Heading1"/>
        <w:rPr>
          <w:rFonts w:asciiTheme="minorHAnsi" w:hAnsiTheme="minorHAnsi" w:cstheme="minorHAnsi"/>
          <w:b/>
          <w:bCs/>
          <w:color w:val="000000" w:themeColor="text1"/>
          <w:sz w:val="24"/>
          <w:szCs w:val="24"/>
          <w:lang w:val="en-US"/>
        </w:rPr>
      </w:pPr>
      <w:r w:rsidRPr="000B19AE">
        <w:rPr>
          <w:rFonts w:asciiTheme="minorHAnsi" w:hAnsiTheme="minorHAnsi" w:cstheme="minorHAnsi"/>
          <w:b/>
          <w:bCs/>
          <w:color w:val="000000" w:themeColor="text1"/>
          <w:sz w:val="24"/>
          <w:szCs w:val="24"/>
          <w:lang w:val="en-US"/>
        </w:rPr>
        <w:t>References</w:t>
      </w:r>
    </w:p>
    <w:p w14:paraId="7A578559" w14:textId="77777777" w:rsidR="00703345" w:rsidRDefault="00703345" w:rsidP="00703345">
      <w:pPr>
        <w:autoSpaceDE w:val="0"/>
        <w:autoSpaceDN w:val="0"/>
        <w:ind w:left="720" w:hanging="720"/>
        <w:rPr>
          <w:rFonts w:ascii="Segoe UI" w:hAnsi="Segoe UI" w:cs="Segoe UI"/>
          <w:sz w:val="18"/>
          <w:szCs w:val="18"/>
        </w:rPr>
      </w:pPr>
      <w:r>
        <w:rPr>
          <w:rFonts w:ascii="Segoe UI" w:hAnsi="Segoe UI" w:cs="Segoe UI"/>
          <w:sz w:val="18"/>
          <w:szCs w:val="18"/>
        </w:rPr>
        <w:t xml:space="preserve">Black, L.P., Kamo, S.L., Allen, C.M., </w:t>
      </w:r>
      <w:proofErr w:type="spellStart"/>
      <w:r>
        <w:rPr>
          <w:rFonts w:ascii="Segoe UI" w:hAnsi="Segoe UI" w:cs="Segoe UI"/>
          <w:sz w:val="18"/>
          <w:szCs w:val="18"/>
        </w:rPr>
        <w:t>Aleinikoff</w:t>
      </w:r>
      <w:proofErr w:type="spellEnd"/>
      <w:r>
        <w:rPr>
          <w:rFonts w:ascii="Segoe UI" w:hAnsi="Segoe UI" w:cs="Segoe UI"/>
          <w:sz w:val="18"/>
          <w:szCs w:val="18"/>
        </w:rPr>
        <w:t xml:space="preserve">, J.N., Davis, D.W., Korsch, R.J., </w:t>
      </w:r>
      <w:proofErr w:type="spellStart"/>
      <w:r>
        <w:rPr>
          <w:rFonts w:ascii="Segoe UI" w:hAnsi="Segoe UI" w:cs="Segoe UI"/>
          <w:sz w:val="18"/>
          <w:szCs w:val="18"/>
        </w:rPr>
        <w:t>Foudoulis</w:t>
      </w:r>
      <w:proofErr w:type="spellEnd"/>
      <w:r>
        <w:rPr>
          <w:rFonts w:ascii="Segoe UI" w:hAnsi="Segoe UI" w:cs="Segoe UI"/>
          <w:sz w:val="18"/>
          <w:szCs w:val="18"/>
        </w:rPr>
        <w:t>, C., 2003. TEMORA 1: a new zircon standard for Phanerozoic U-Pb geochronology. Chemical Geology, 200(1-2): 155-170.</w:t>
      </w:r>
    </w:p>
    <w:p w14:paraId="1AA11F4C" w14:textId="4A8AC578" w:rsidR="00703345" w:rsidRDefault="00703345" w:rsidP="00703345">
      <w:pPr>
        <w:autoSpaceDE w:val="0"/>
        <w:autoSpaceDN w:val="0"/>
        <w:ind w:left="720" w:hanging="720"/>
        <w:rPr>
          <w:rFonts w:ascii="Segoe UI" w:hAnsi="Segoe UI" w:cs="Segoe UI"/>
          <w:sz w:val="18"/>
          <w:szCs w:val="18"/>
        </w:rPr>
      </w:pPr>
      <w:r w:rsidRPr="00703345">
        <w:rPr>
          <w:rFonts w:ascii="Segoe UI" w:hAnsi="Segoe UI" w:cs="Segoe UI"/>
          <w:sz w:val="18"/>
          <w:szCs w:val="18"/>
        </w:rPr>
        <w:lastRenderedPageBreak/>
        <w:t xml:space="preserve">Ludwig, K. (2012). User’s manual for </w:t>
      </w:r>
      <w:proofErr w:type="spellStart"/>
      <w:r w:rsidRPr="00703345">
        <w:rPr>
          <w:rFonts w:ascii="Segoe UI" w:hAnsi="Segoe UI" w:cs="Segoe UI"/>
          <w:sz w:val="18"/>
          <w:szCs w:val="18"/>
        </w:rPr>
        <w:t>Isoplot</w:t>
      </w:r>
      <w:proofErr w:type="spellEnd"/>
      <w:r w:rsidRPr="00703345">
        <w:rPr>
          <w:rFonts w:ascii="Segoe UI" w:hAnsi="Segoe UI" w:cs="Segoe UI"/>
          <w:sz w:val="18"/>
          <w:szCs w:val="18"/>
        </w:rPr>
        <w:t xml:space="preserve"> version 3.75–4.15: A geochronological toolkit for Microsoft Excel. Berkley Geochronological </w:t>
      </w:r>
      <w:proofErr w:type="spellStart"/>
      <w:r w:rsidRPr="00703345">
        <w:rPr>
          <w:rFonts w:ascii="Segoe UI" w:hAnsi="Segoe UI" w:cs="Segoe UI"/>
          <w:sz w:val="18"/>
          <w:szCs w:val="18"/>
        </w:rPr>
        <w:t>Center</w:t>
      </w:r>
      <w:proofErr w:type="spellEnd"/>
      <w:r w:rsidRPr="00703345">
        <w:rPr>
          <w:rFonts w:ascii="Segoe UI" w:hAnsi="Segoe UI" w:cs="Segoe UI"/>
          <w:sz w:val="18"/>
          <w:szCs w:val="18"/>
        </w:rPr>
        <w:t xml:space="preserve"> Special Publication review 5: 1-75</w:t>
      </w:r>
    </w:p>
    <w:p w14:paraId="3C96C139" w14:textId="77777777" w:rsidR="00703345" w:rsidRDefault="00703345" w:rsidP="00703345">
      <w:pPr>
        <w:autoSpaceDE w:val="0"/>
        <w:autoSpaceDN w:val="0"/>
        <w:ind w:left="720" w:hanging="720"/>
        <w:rPr>
          <w:rFonts w:ascii="Segoe UI" w:hAnsi="Segoe UI" w:cs="Segoe UI"/>
          <w:sz w:val="18"/>
          <w:szCs w:val="18"/>
        </w:rPr>
      </w:pPr>
      <w:r w:rsidRPr="00703345">
        <w:rPr>
          <w:rFonts w:ascii="Segoe UI" w:hAnsi="Segoe UI" w:cs="Segoe UI"/>
          <w:sz w:val="18"/>
          <w:szCs w:val="18"/>
        </w:rPr>
        <w:t>Thompson J. M., Meffre, S. and Danyushevsky, L. 2018. Impact of laser pulse width and fluence on U-Pb dating of zircons by LA-ICPMS, Journal of Analytical Atomic Spectroscopy, 33:221-230.</w:t>
      </w:r>
    </w:p>
    <w:p w14:paraId="6EA94117" w14:textId="77777777" w:rsidR="00703345" w:rsidRDefault="00703345" w:rsidP="00703345">
      <w:pPr>
        <w:autoSpaceDE w:val="0"/>
        <w:autoSpaceDN w:val="0"/>
        <w:ind w:left="720" w:hanging="720"/>
        <w:rPr>
          <w:rFonts w:ascii="Segoe UI" w:hAnsi="Segoe UI" w:cs="Segoe UI"/>
          <w:sz w:val="18"/>
          <w:szCs w:val="18"/>
        </w:rPr>
      </w:pPr>
      <w:r>
        <w:rPr>
          <w:rFonts w:ascii="Segoe UI" w:hAnsi="Segoe UI" w:cs="Segoe UI"/>
          <w:sz w:val="18"/>
          <w:szCs w:val="18"/>
        </w:rPr>
        <w:t xml:space="preserve">Slama, J., Kosler, J., Condon, D.J., Crowley, J.L., Gerdes, A., Hanchar, J.M., </w:t>
      </w:r>
      <w:proofErr w:type="spellStart"/>
      <w:r>
        <w:rPr>
          <w:rFonts w:ascii="Segoe UI" w:hAnsi="Segoe UI" w:cs="Segoe UI"/>
          <w:sz w:val="18"/>
          <w:szCs w:val="18"/>
        </w:rPr>
        <w:t>Horstwood</w:t>
      </w:r>
      <w:proofErr w:type="spellEnd"/>
      <w:r>
        <w:rPr>
          <w:rFonts w:ascii="Segoe UI" w:hAnsi="Segoe UI" w:cs="Segoe UI"/>
          <w:sz w:val="18"/>
          <w:szCs w:val="18"/>
        </w:rPr>
        <w:t xml:space="preserve">, M.S.A., Morris, G.A., </w:t>
      </w:r>
      <w:proofErr w:type="spellStart"/>
      <w:r>
        <w:rPr>
          <w:rFonts w:ascii="Segoe UI" w:hAnsi="Segoe UI" w:cs="Segoe UI"/>
          <w:sz w:val="18"/>
          <w:szCs w:val="18"/>
        </w:rPr>
        <w:t>Nasdala</w:t>
      </w:r>
      <w:proofErr w:type="spellEnd"/>
      <w:r>
        <w:rPr>
          <w:rFonts w:ascii="Segoe UI" w:hAnsi="Segoe UI" w:cs="Segoe UI"/>
          <w:sz w:val="18"/>
          <w:szCs w:val="18"/>
        </w:rPr>
        <w:t xml:space="preserve">, L., Norberg, N., </w:t>
      </w:r>
      <w:proofErr w:type="spellStart"/>
      <w:r>
        <w:rPr>
          <w:rFonts w:ascii="Segoe UI" w:hAnsi="Segoe UI" w:cs="Segoe UI"/>
          <w:sz w:val="18"/>
          <w:szCs w:val="18"/>
        </w:rPr>
        <w:t>Schaltegger</w:t>
      </w:r>
      <w:proofErr w:type="spellEnd"/>
      <w:r>
        <w:rPr>
          <w:rFonts w:ascii="Segoe UI" w:hAnsi="Segoe UI" w:cs="Segoe UI"/>
          <w:sz w:val="18"/>
          <w:szCs w:val="18"/>
        </w:rPr>
        <w:t xml:space="preserve">, U., Schoene, B., </w:t>
      </w:r>
      <w:proofErr w:type="spellStart"/>
      <w:r>
        <w:rPr>
          <w:rFonts w:ascii="Segoe UI" w:hAnsi="Segoe UI" w:cs="Segoe UI"/>
          <w:sz w:val="18"/>
          <w:szCs w:val="18"/>
        </w:rPr>
        <w:t>Tubrett</w:t>
      </w:r>
      <w:proofErr w:type="spellEnd"/>
      <w:r>
        <w:rPr>
          <w:rFonts w:ascii="Segoe UI" w:hAnsi="Segoe UI" w:cs="Segoe UI"/>
          <w:sz w:val="18"/>
          <w:szCs w:val="18"/>
        </w:rPr>
        <w:t xml:space="preserve">, M.N., Whitehouse, M.J., 2008. </w:t>
      </w:r>
      <w:proofErr w:type="spellStart"/>
      <w:r>
        <w:rPr>
          <w:rFonts w:ascii="Segoe UI" w:hAnsi="Segoe UI" w:cs="Segoe UI"/>
          <w:sz w:val="18"/>
          <w:szCs w:val="18"/>
        </w:rPr>
        <w:t>Plesovice</w:t>
      </w:r>
      <w:proofErr w:type="spellEnd"/>
      <w:r>
        <w:rPr>
          <w:rFonts w:ascii="Segoe UI" w:hAnsi="Segoe UI" w:cs="Segoe UI"/>
          <w:sz w:val="18"/>
          <w:szCs w:val="18"/>
        </w:rPr>
        <w:t xml:space="preserve"> zircon - A new natural reference material for U-Pb and Hf isotopic microanalysis. Chemical Geology, 249(1-2): 1-35.</w:t>
      </w:r>
    </w:p>
    <w:p w14:paraId="67D40052" w14:textId="0AA3AA16" w:rsidR="00703345" w:rsidRDefault="00703345" w:rsidP="00703345">
      <w:pPr>
        <w:autoSpaceDE w:val="0"/>
        <w:autoSpaceDN w:val="0"/>
        <w:ind w:left="720" w:hanging="720"/>
        <w:rPr>
          <w:rFonts w:ascii="Segoe UI" w:hAnsi="Segoe UI" w:cs="Segoe UI"/>
          <w:sz w:val="18"/>
          <w:szCs w:val="18"/>
        </w:rPr>
      </w:pPr>
      <w:r>
        <w:rPr>
          <w:rFonts w:ascii="Segoe UI" w:hAnsi="Segoe UI" w:cs="Segoe UI"/>
          <w:sz w:val="18"/>
          <w:szCs w:val="18"/>
        </w:rPr>
        <w:t xml:space="preserve">Wiedenbeck, M., Alle, P., Corfu, F., Griffin, W.L., Meier, M., </w:t>
      </w:r>
      <w:proofErr w:type="spellStart"/>
      <w:r>
        <w:rPr>
          <w:rFonts w:ascii="Segoe UI" w:hAnsi="Segoe UI" w:cs="Segoe UI"/>
          <w:sz w:val="18"/>
          <w:szCs w:val="18"/>
        </w:rPr>
        <w:t>Oberli</w:t>
      </w:r>
      <w:proofErr w:type="spellEnd"/>
      <w:r>
        <w:rPr>
          <w:rFonts w:ascii="Segoe UI" w:hAnsi="Segoe UI" w:cs="Segoe UI"/>
          <w:sz w:val="18"/>
          <w:szCs w:val="18"/>
        </w:rPr>
        <w:t xml:space="preserve">, F., </w:t>
      </w:r>
      <w:proofErr w:type="spellStart"/>
      <w:r>
        <w:rPr>
          <w:rFonts w:ascii="Segoe UI" w:hAnsi="Segoe UI" w:cs="Segoe UI"/>
          <w:sz w:val="18"/>
          <w:szCs w:val="18"/>
        </w:rPr>
        <w:t>Vonquadt</w:t>
      </w:r>
      <w:proofErr w:type="spellEnd"/>
      <w:r>
        <w:rPr>
          <w:rFonts w:ascii="Segoe UI" w:hAnsi="Segoe UI" w:cs="Segoe UI"/>
          <w:sz w:val="18"/>
          <w:szCs w:val="18"/>
        </w:rPr>
        <w:t xml:space="preserve">, A., Roddick, J.C., Speigel, W., 1995. 3 Natural Zircon Standards for U-Th-Pb, Lu-Hf, Trace-Element and Ree Analyses. </w:t>
      </w:r>
      <w:proofErr w:type="spellStart"/>
      <w:r>
        <w:rPr>
          <w:rFonts w:ascii="Segoe UI" w:hAnsi="Segoe UI" w:cs="Segoe UI"/>
          <w:sz w:val="18"/>
          <w:szCs w:val="18"/>
        </w:rPr>
        <w:t>Geostandards</w:t>
      </w:r>
      <w:proofErr w:type="spellEnd"/>
      <w:r>
        <w:rPr>
          <w:rFonts w:ascii="Segoe UI" w:hAnsi="Segoe UI" w:cs="Segoe UI"/>
          <w:sz w:val="18"/>
          <w:szCs w:val="18"/>
        </w:rPr>
        <w:t xml:space="preserve"> Newsletter, 19(1): 1-23.</w:t>
      </w:r>
    </w:p>
    <w:p w14:paraId="4B1D35AF" w14:textId="77777777" w:rsidR="00703345" w:rsidRDefault="00703345" w:rsidP="00703345">
      <w:pPr>
        <w:autoSpaceDE w:val="0"/>
        <w:autoSpaceDN w:val="0"/>
        <w:ind w:left="720" w:hanging="720"/>
        <w:rPr>
          <w:rFonts w:ascii="Segoe UI" w:hAnsi="Segoe UI" w:cs="Segoe UI"/>
          <w:sz w:val="18"/>
          <w:szCs w:val="18"/>
        </w:rPr>
      </w:pPr>
      <w:r>
        <w:rPr>
          <w:rFonts w:ascii="Segoe UI" w:hAnsi="Segoe UI" w:cs="Segoe UI"/>
          <w:sz w:val="18"/>
          <w:szCs w:val="18"/>
        </w:rPr>
        <w:t xml:space="preserve">Wiedenbeck, M., Hanchar, J.M., Peck, W.H., Sylvester, P., Valley, J., Whitehouse, M., Kronz, A., Morishita, Y., </w:t>
      </w:r>
      <w:proofErr w:type="spellStart"/>
      <w:r>
        <w:rPr>
          <w:rFonts w:ascii="Segoe UI" w:hAnsi="Segoe UI" w:cs="Segoe UI"/>
          <w:sz w:val="18"/>
          <w:szCs w:val="18"/>
        </w:rPr>
        <w:t>Nasdala</w:t>
      </w:r>
      <w:proofErr w:type="spellEnd"/>
      <w:r>
        <w:rPr>
          <w:rFonts w:ascii="Segoe UI" w:hAnsi="Segoe UI" w:cs="Segoe UI"/>
          <w:sz w:val="18"/>
          <w:szCs w:val="18"/>
        </w:rPr>
        <w:t xml:space="preserve">, L., Fiebig, J., Franchi, I., Girard, J.P., Greenwood, R.C., Hinton, R., Kita, N., Mason, P.R.D., Norman, M., Ogasawara, M., Piccoli, R., </w:t>
      </w:r>
      <w:proofErr w:type="spellStart"/>
      <w:r>
        <w:rPr>
          <w:rFonts w:ascii="Segoe UI" w:hAnsi="Segoe UI" w:cs="Segoe UI"/>
          <w:sz w:val="18"/>
          <w:szCs w:val="18"/>
        </w:rPr>
        <w:t>Rhede</w:t>
      </w:r>
      <w:proofErr w:type="spellEnd"/>
      <w:r>
        <w:rPr>
          <w:rFonts w:ascii="Segoe UI" w:hAnsi="Segoe UI" w:cs="Segoe UI"/>
          <w:sz w:val="18"/>
          <w:szCs w:val="18"/>
        </w:rPr>
        <w:t xml:space="preserve">, D., Satoh, H., Schulz-Dobrick, B., Skar, O., Spicuzza, M.J., Terada, K., </w:t>
      </w:r>
      <w:proofErr w:type="spellStart"/>
      <w:r>
        <w:rPr>
          <w:rFonts w:ascii="Segoe UI" w:hAnsi="Segoe UI" w:cs="Segoe UI"/>
          <w:sz w:val="18"/>
          <w:szCs w:val="18"/>
        </w:rPr>
        <w:t>Tindle</w:t>
      </w:r>
      <w:proofErr w:type="spellEnd"/>
      <w:r>
        <w:rPr>
          <w:rFonts w:ascii="Segoe UI" w:hAnsi="Segoe UI" w:cs="Segoe UI"/>
          <w:sz w:val="18"/>
          <w:szCs w:val="18"/>
        </w:rPr>
        <w:t xml:space="preserve">, A., Togashi, S., Vennemann, T., Xie, Q., Zheng, Y.F., 2004. Further characterisation of the </w:t>
      </w:r>
      <w:proofErr w:type="gramStart"/>
      <w:r>
        <w:rPr>
          <w:rFonts w:ascii="Segoe UI" w:hAnsi="Segoe UI" w:cs="Segoe UI"/>
          <w:sz w:val="18"/>
          <w:szCs w:val="18"/>
        </w:rPr>
        <w:t>91500 zircon</w:t>
      </w:r>
      <w:proofErr w:type="gramEnd"/>
      <w:r>
        <w:rPr>
          <w:rFonts w:ascii="Segoe UI" w:hAnsi="Segoe UI" w:cs="Segoe UI"/>
          <w:sz w:val="18"/>
          <w:szCs w:val="18"/>
        </w:rPr>
        <w:t xml:space="preserve"> crystal. </w:t>
      </w:r>
      <w:proofErr w:type="spellStart"/>
      <w:r>
        <w:rPr>
          <w:rFonts w:ascii="Segoe UI" w:hAnsi="Segoe UI" w:cs="Segoe UI"/>
          <w:sz w:val="18"/>
          <w:szCs w:val="18"/>
        </w:rPr>
        <w:t>Geostandards</w:t>
      </w:r>
      <w:proofErr w:type="spellEnd"/>
      <w:r>
        <w:rPr>
          <w:rFonts w:ascii="Segoe UI" w:hAnsi="Segoe UI" w:cs="Segoe UI"/>
          <w:sz w:val="18"/>
          <w:szCs w:val="18"/>
        </w:rPr>
        <w:t xml:space="preserve"> and </w:t>
      </w:r>
      <w:proofErr w:type="spellStart"/>
      <w:r>
        <w:rPr>
          <w:rFonts w:ascii="Segoe UI" w:hAnsi="Segoe UI" w:cs="Segoe UI"/>
          <w:sz w:val="18"/>
          <w:szCs w:val="18"/>
        </w:rPr>
        <w:t>Geoanalytical</w:t>
      </w:r>
      <w:proofErr w:type="spellEnd"/>
      <w:r>
        <w:rPr>
          <w:rFonts w:ascii="Segoe UI" w:hAnsi="Segoe UI" w:cs="Segoe UI"/>
          <w:sz w:val="18"/>
          <w:szCs w:val="18"/>
        </w:rPr>
        <w:t xml:space="preserve"> Research, 28(1): 9-39.</w:t>
      </w:r>
    </w:p>
    <w:p w14:paraId="5D6C12EF" w14:textId="77777777" w:rsidR="00703345" w:rsidRDefault="00703345" w:rsidP="00703345">
      <w:pPr>
        <w:rPr>
          <w:rFonts w:ascii="Calibri" w:hAnsi="Calibri" w:cs="Calibri"/>
          <w:sz w:val="22"/>
          <w:szCs w:val="22"/>
          <w14:ligatures w14:val="standardContextual"/>
        </w:rPr>
      </w:pPr>
    </w:p>
    <w:p w14:paraId="467EEC11" w14:textId="77777777" w:rsidR="00703345" w:rsidRDefault="00703345" w:rsidP="00703345">
      <w:pPr>
        <w:rPr>
          <w:rFonts w:ascii="Calibri" w:hAnsi="Calibri" w:cs="Calibri"/>
          <w:sz w:val="22"/>
          <w:szCs w:val="22"/>
          <w14:ligatures w14:val="standardContextual"/>
        </w:rPr>
      </w:pPr>
    </w:p>
    <w:p w14:paraId="5BCC3831" w14:textId="77777777" w:rsidR="00703345" w:rsidRDefault="00703345" w:rsidP="00703345">
      <w:pPr>
        <w:rPr>
          <w:rFonts w:ascii="Calibri" w:hAnsi="Calibri" w:cs="Calibri"/>
          <w:sz w:val="22"/>
          <w:szCs w:val="22"/>
          <w14:ligatures w14:val="standardContextual"/>
        </w:rPr>
      </w:pPr>
    </w:p>
    <w:p w14:paraId="2F0FB7BF" w14:textId="77777777" w:rsidR="00703345" w:rsidRDefault="00703345"/>
    <w:sectPr w:rsidR="00703345" w:rsidSect="00151AA1">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47B38" w14:textId="77777777" w:rsidR="006F452D" w:rsidRDefault="006F452D" w:rsidP="00CF5171">
      <w:r>
        <w:separator/>
      </w:r>
    </w:p>
  </w:endnote>
  <w:endnote w:type="continuationSeparator" w:id="0">
    <w:p w14:paraId="4B422EA6" w14:textId="77777777" w:rsidR="006F452D" w:rsidRDefault="006F452D" w:rsidP="00CF5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C7385" w14:textId="77777777" w:rsidR="006F452D" w:rsidRDefault="006F452D" w:rsidP="00CF5171">
      <w:r>
        <w:separator/>
      </w:r>
    </w:p>
  </w:footnote>
  <w:footnote w:type="continuationSeparator" w:id="0">
    <w:p w14:paraId="105C4AF7" w14:textId="77777777" w:rsidR="006F452D" w:rsidRDefault="006F452D" w:rsidP="00CF51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7D5763"/>
    <w:multiLevelType w:val="multilevel"/>
    <w:tmpl w:val="5122D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03615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3B8A"/>
    <w:rsid w:val="00055488"/>
    <w:rsid w:val="00070164"/>
    <w:rsid w:val="000B19AE"/>
    <w:rsid w:val="00151AA1"/>
    <w:rsid w:val="001F558D"/>
    <w:rsid w:val="00236C4C"/>
    <w:rsid w:val="00286DDF"/>
    <w:rsid w:val="002951D7"/>
    <w:rsid w:val="002B5336"/>
    <w:rsid w:val="003052F6"/>
    <w:rsid w:val="00305594"/>
    <w:rsid w:val="003200EF"/>
    <w:rsid w:val="003559CD"/>
    <w:rsid w:val="003D2258"/>
    <w:rsid w:val="00450869"/>
    <w:rsid w:val="00456987"/>
    <w:rsid w:val="0048196A"/>
    <w:rsid w:val="004831BA"/>
    <w:rsid w:val="004C4A92"/>
    <w:rsid w:val="004D3B8A"/>
    <w:rsid w:val="004D7D71"/>
    <w:rsid w:val="004F5450"/>
    <w:rsid w:val="00532ECE"/>
    <w:rsid w:val="005631BB"/>
    <w:rsid w:val="00563C0D"/>
    <w:rsid w:val="00591AFF"/>
    <w:rsid w:val="00616E88"/>
    <w:rsid w:val="0065417A"/>
    <w:rsid w:val="006A2711"/>
    <w:rsid w:val="006A68FA"/>
    <w:rsid w:val="006F30AF"/>
    <w:rsid w:val="006F452D"/>
    <w:rsid w:val="00703345"/>
    <w:rsid w:val="00764F01"/>
    <w:rsid w:val="00792353"/>
    <w:rsid w:val="008304DB"/>
    <w:rsid w:val="008F41C7"/>
    <w:rsid w:val="00A170DE"/>
    <w:rsid w:val="00B025E4"/>
    <w:rsid w:val="00B139B3"/>
    <w:rsid w:val="00B14795"/>
    <w:rsid w:val="00BB225C"/>
    <w:rsid w:val="00BB7F37"/>
    <w:rsid w:val="00BF34DA"/>
    <w:rsid w:val="00BF66F2"/>
    <w:rsid w:val="00C51F81"/>
    <w:rsid w:val="00CF2D4C"/>
    <w:rsid w:val="00CF5171"/>
    <w:rsid w:val="00D23B16"/>
    <w:rsid w:val="00D7432C"/>
    <w:rsid w:val="00D95AD2"/>
    <w:rsid w:val="00DF2526"/>
    <w:rsid w:val="00E16FAE"/>
    <w:rsid w:val="00E5558A"/>
    <w:rsid w:val="00EA3073"/>
    <w:rsid w:val="00F27A52"/>
    <w:rsid w:val="00F33C10"/>
    <w:rsid w:val="00F36783"/>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91467"/>
  <w15:chartTrackingRefBased/>
  <w15:docId w15:val="{CDA10846-C46C-7E48-A026-7E1A222D1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D3B8A"/>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D3B8A"/>
    <w:rPr>
      <w:sz w:val="22"/>
      <w:szCs w:val="22"/>
    </w:rPr>
  </w:style>
  <w:style w:type="paragraph" w:styleId="Title">
    <w:name w:val="Title"/>
    <w:basedOn w:val="Normal"/>
    <w:next w:val="Normal"/>
    <w:link w:val="TitleChar"/>
    <w:uiPriority w:val="10"/>
    <w:qFormat/>
    <w:rsid w:val="004D3B8A"/>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3B8A"/>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4D3B8A"/>
    <w:rPr>
      <w:rFonts w:asciiTheme="majorHAnsi" w:eastAsiaTheme="majorEastAsia" w:hAnsiTheme="majorHAnsi" w:cstheme="majorBidi"/>
      <w:color w:val="2F5496" w:themeColor="accent1" w:themeShade="BF"/>
      <w:sz w:val="32"/>
      <w:szCs w:val="32"/>
    </w:rPr>
  </w:style>
  <w:style w:type="paragraph" w:styleId="FootnoteText">
    <w:name w:val="footnote text"/>
    <w:basedOn w:val="Normal"/>
    <w:link w:val="FootnoteTextChar"/>
    <w:uiPriority w:val="99"/>
    <w:semiHidden/>
    <w:unhideWhenUsed/>
    <w:rsid w:val="00CF5171"/>
    <w:rPr>
      <w:rFonts w:eastAsiaTheme="minorEastAsia"/>
      <w:sz w:val="20"/>
      <w:szCs w:val="20"/>
      <w:lang w:eastAsia="zh-CN"/>
    </w:rPr>
  </w:style>
  <w:style w:type="character" w:customStyle="1" w:styleId="FootnoteTextChar">
    <w:name w:val="Footnote Text Char"/>
    <w:basedOn w:val="DefaultParagraphFont"/>
    <w:link w:val="FootnoteText"/>
    <w:uiPriority w:val="99"/>
    <w:semiHidden/>
    <w:rsid w:val="00CF5171"/>
    <w:rPr>
      <w:rFonts w:eastAsiaTheme="minorEastAsia"/>
      <w:sz w:val="20"/>
      <w:szCs w:val="20"/>
      <w:lang w:eastAsia="zh-CN"/>
    </w:rPr>
  </w:style>
  <w:style w:type="character" w:styleId="FootnoteReference">
    <w:name w:val="footnote reference"/>
    <w:basedOn w:val="DefaultParagraphFont"/>
    <w:uiPriority w:val="99"/>
    <w:semiHidden/>
    <w:unhideWhenUsed/>
    <w:rsid w:val="00CF5171"/>
    <w:rPr>
      <w:vertAlign w:val="superscript"/>
    </w:rPr>
  </w:style>
  <w:style w:type="paragraph" w:styleId="NormalWeb">
    <w:name w:val="Normal (Web)"/>
    <w:basedOn w:val="Normal"/>
    <w:uiPriority w:val="99"/>
    <w:semiHidden/>
    <w:unhideWhenUsed/>
    <w:rsid w:val="00591AFF"/>
    <w:pPr>
      <w:spacing w:before="100" w:beforeAutospacing="1" w:after="100" w:afterAutospacing="1"/>
    </w:pPr>
    <w:rPr>
      <w:rFonts w:ascii="Times New Roman" w:eastAsia="Times New Roman" w:hAnsi="Times New Roman" w:cs="Times New Roman"/>
      <w:lang w:eastAsia="en-GB"/>
    </w:rPr>
  </w:style>
  <w:style w:type="character" w:styleId="Hyperlink">
    <w:name w:val="Hyperlink"/>
    <w:basedOn w:val="DefaultParagraphFont"/>
    <w:uiPriority w:val="99"/>
    <w:unhideWhenUsed/>
    <w:rsid w:val="00B025E4"/>
    <w:rPr>
      <w:color w:val="0563C1" w:themeColor="hyperlink"/>
      <w:u w:val="single"/>
    </w:rPr>
  </w:style>
  <w:style w:type="character" w:styleId="UnresolvedMention">
    <w:name w:val="Unresolved Mention"/>
    <w:basedOn w:val="DefaultParagraphFont"/>
    <w:uiPriority w:val="99"/>
    <w:semiHidden/>
    <w:unhideWhenUsed/>
    <w:rsid w:val="00B025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280189">
      <w:bodyDiv w:val="1"/>
      <w:marLeft w:val="0"/>
      <w:marRight w:val="0"/>
      <w:marTop w:val="0"/>
      <w:marBottom w:val="0"/>
      <w:divBdr>
        <w:top w:val="none" w:sz="0" w:space="0" w:color="auto"/>
        <w:left w:val="none" w:sz="0" w:space="0" w:color="auto"/>
        <w:bottom w:val="none" w:sz="0" w:space="0" w:color="auto"/>
        <w:right w:val="none" w:sz="0" w:space="0" w:color="auto"/>
      </w:divBdr>
      <w:divsChild>
        <w:div w:id="846748903">
          <w:marLeft w:val="0"/>
          <w:marRight w:val="0"/>
          <w:marTop w:val="0"/>
          <w:marBottom w:val="0"/>
          <w:divBdr>
            <w:top w:val="none" w:sz="0" w:space="0" w:color="auto"/>
            <w:left w:val="none" w:sz="0" w:space="0" w:color="auto"/>
            <w:bottom w:val="none" w:sz="0" w:space="0" w:color="auto"/>
            <w:right w:val="none" w:sz="0" w:space="0" w:color="auto"/>
          </w:divBdr>
          <w:divsChild>
            <w:div w:id="1443918697">
              <w:marLeft w:val="0"/>
              <w:marRight w:val="0"/>
              <w:marTop w:val="0"/>
              <w:marBottom w:val="0"/>
              <w:divBdr>
                <w:top w:val="none" w:sz="0" w:space="0" w:color="auto"/>
                <w:left w:val="none" w:sz="0" w:space="0" w:color="auto"/>
                <w:bottom w:val="none" w:sz="0" w:space="0" w:color="auto"/>
                <w:right w:val="none" w:sz="0" w:space="0" w:color="auto"/>
              </w:divBdr>
              <w:divsChild>
                <w:div w:id="187519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014388">
      <w:bodyDiv w:val="1"/>
      <w:marLeft w:val="0"/>
      <w:marRight w:val="0"/>
      <w:marTop w:val="0"/>
      <w:marBottom w:val="0"/>
      <w:divBdr>
        <w:top w:val="none" w:sz="0" w:space="0" w:color="auto"/>
        <w:left w:val="none" w:sz="0" w:space="0" w:color="auto"/>
        <w:bottom w:val="none" w:sz="0" w:space="0" w:color="auto"/>
        <w:right w:val="none" w:sz="0" w:space="0" w:color="auto"/>
      </w:divBdr>
    </w:div>
    <w:div w:id="1569456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eorem.mpch-mainz.gwdg.d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BFB39-2D0D-41A4-9958-E63F6A094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3</Pages>
  <Words>1295</Words>
  <Characters>7388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Madison Mulder</dc:creator>
  <cp:keywords/>
  <dc:description/>
  <cp:lastModifiedBy>Karin Orth</cp:lastModifiedBy>
  <cp:revision>21</cp:revision>
  <dcterms:created xsi:type="dcterms:W3CDTF">2022-02-20T05:22:00Z</dcterms:created>
  <dcterms:modified xsi:type="dcterms:W3CDTF">2023-08-29T00:55:00Z</dcterms:modified>
</cp:coreProperties>
</file>